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03" w:rsidRDefault="00D47F03" w:rsidP="00076057">
      <w:pPr>
        <w:spacing w:beforeLines="60" w:before="144" w:afterLines="60" w:after="144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Czechowice-Dziedzice, dnia </w:t>
      </w:r>
      <w:r w:rsidR="00FC0F1D">
        <w:rPr>
          <w:rFonts w:ascii="Times New Roman" w:eastAsia="Times New Roman" w:hAnsi="Times New Roman" w:cs="Times New Roman"/>
          <w:b/>
          <w:bCs/>
          <w:sz w:val="20"/>
          <w:szCs w:val="20"/>
        </w:rPr>
        <w:t>01.07.</w:t>
      </w:r>
      <w:r w:rsidRPr="00FC0F1D">
        <w:rPr>
          <w:rFonts w:ascii="Times New Roman" w:eastAsia="Times New Roman" w:hAnsi="Times New Roman" w:cs="Times New Roman"/>
          <w:b/>
          <w:bCs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roku</w:t>
      </w:r>
    </w:p>
    <w:p w:rsidR="00D47F03" w:rsidRDefault="00D47F03" w:rsidP="00EA1C22">
      <w:pPr>
        <w:spacing w:beforeLines="60" w:before="144"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1C22" w:rsidRPr="00EA1C22" w:rsidRDefault="00EA1C22" w:rsidP="00EA1C22">
      <w:pPr>
        <w:spacing w:beforeLines="60" w:before="144"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1C2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Stan na dzień sporządzenia prospektu informacyjnego </w:t>
      </w:r>
    </w:p>
    <w:p w:rsidR="00EA1C22" w:rsidRPr="00EA1C22" w:rsidRDefault="00EA1C22" w:rsidP="00EA1C22">
      <w:pPr>
        <w:spacing w:before="60" w:after="6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EA1C22" w:rsidRDefault="00EA1C22" w:rsidP="00EA1C22">
      <w:pPr>
        <w:spacing w:beforeLines="60" w:before="144" w:afterLines="60" w:after="144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EA1C22">
        <w:rPr>
          <w:rFonts w:ascii="Times New Roman" w:eastAsia="Calibri" w:hAnsi="Times New Roman" w:cs="Times New Roman"/>
          <w:b/>
          <w:sz w:val="20"/>
          <w:szCs w:val="20"/>
        </w:rPr>
        <w:t xml:space="preserve">PROSPEKT INFORMACYJNY </w:t>
      </w:r>
    </w:p>
    <w:p w:rsidR="00FC0F1D" w:rsidRDefault="00FC0F1D" w:rsidP="00EA1C22">
      <w:pPr>
        <w:spacing w:beforeLines="60" w:before="144" w:afterLines="60" w:after="144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DLA PRZEDSIĘWZIĘCIA DEWELOPERSKIEGO „SZWAJCARSKA DOLINA APARTAMENTY CZECHOWICE-DZIEDZICE”</w:t>
      </w:r>
    </w:p>
    <w:p w:rsidR="00D47F03" w:rsidRPr="00EA1C22" w:rsidRDefault="00D47F03" w:rsidP="00EA1C22">
      <w:pPr>
        <w:spacing w:beforeLines="60" w:before="144" w:afterLines="60" w:after="144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EA1C22" w:rsidRPr="00EA1C22" w:rsidRDefault="00EA1C22" w:rsidP="00EA1C22">
      <w:pPr>
        <w:spacing w:before="60" w:after="6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EA1C22" w:rsidRPr="00EA1C22" w:rsidRDefault="00EA1C22" w:rsidP="00EA1C22">
      <w:pPr>
        <w:spacing w:beforeLines="60" w:before="144" w:afterLines="60" w:after="144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EA1C22">
        <w:rPr>
          <w:rFonts w:ascii="Times New Roman" w:eastAsia="Calibri" w:hAnsi="Times New Roman" w:cs="Times New Roman"/>
          <w:b/>
          <w:sz w:val="20"/>
          <w:szCs w:val="20"/>
        </w:rPr>
        <w:t>CZĘŚĆ OGÓLNA</w:t>
      </w:r>
    </w:p>
    <w:p w:rsidR="00EA1C22" w:rsidRPr="00EA1C22" w:rsidRDefault="00EA1C22" w:rsidP="0092089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EA1C22" w:rsidRPr="00EA1C22" w:rsidRDefault="00EA1C22" w:rsidP="00920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107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1C22">
        <w:rPr>
          <w:rFonts w:ascii="Times New Roman" w:eastAsia="Times New Roman" w:hAnsi="Times New Roman" w:cs="Times New Roman"/>
          <w:b/>
          <w:bCs/>
          <w:sz w:val="20"/>
          <w:szCs w:val="20"/>
        </w:rPr>
        <w:t>DANE IDENTYFIKACYJNE I KONTAKTOWE DOTYCZĄCE DEWELOPERA</w:t>
      </w:r>
    </w:p>
    <w:tbl>
      <w:tblPr>
        <w:tblpPr w:leftFromText="141" w:rightFromText="141" w:vertAnchor="text" w:horzAnchor="margin" w:tblpY="5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420"/>
      </w:tblGrid>
      <w:tr w:rsidR="00EA1C22" w:rsidRPr="00EA1C22" w:rsidTr="00A774B3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DEWELOPERA</w:t>
            </w:r>
          </w:p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1C22" w:rsidRPr="00EA1C22" w:rsidTr="00A774B3">
        <w:trPr>
          <w:trHeight w:val="375"/>
        </w:trPr>
        <w:tc>
          <w:tcPr>
            <w:tcW w:w="2988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Deweloper</w:t>
            </w:r>
          </w:p>
        </w:tc>
        <w:tc>
          <w:tcPr>
            <w:tcW w:w="6660" w:type="dxa"/>
            <w:gridSpan w:val="2"/>
          </w:tcPr>
          <w:p w:rsidR="00D47F03" w:rsidRDefault="00EA1C22" w:rsidP="00D47F03">
            <w:pPr>
              <w:pStyle w:val="NormalnyWeb"/>
              <w:spacing w:before="142" w:beforeAutospacing="0" w:after="142"/>
              <w:ind w:left="113"/>
            </w:pPr>
            <w:r w:rsidRPr="00EA1C22">
              <w:rPr>
                <w:sz w:val="20"/>
                <w:szCs w:val="20"/>
              </w:rPr>
              <w:br/>
            </w:r>
            <w:r w:rsidR="00D47F03">
              <w:t>Domluks Agnieszka Kiermasz</w:t>
            </w:r>
          </w:p>
          <w:p w:rsidR="00D47F03" w:rsidRDefault="00D47F03" w:rsidP="00D47F03">
            <w:pPr>
              <w:pStyle w:val="NormalnyWeb"/>
              <w:spacing w:before="142" w:beforeAutospacing="0" w:after="142"/>
              <w:ind w:left="113"/>
              <w:rPr>
                <w:color w:val="000000"/>
              </w:rPr>
            </w:pPr>
            <w:r>
              <w:rPr>
                <w:color w:val="000000"/>
              </w:rPr>
              <w:t>Centralna Ewidencja i Informacja o Działalności Gospodarczej Rzeczypospolitej Polskiej</w:t>
            </w:r>
          </w:p>
          <w:p w:rsidR="00EA1C22" w:rsidRPr="00EA1C22" w:rsidRDefault="00D47F03" w:rsidP="00D47F03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 xml:space="preserve"> nr NIP </w:t>
            </w:r>
            <w:r>
              <w:t>6381079207</w:t>
            </w:r>
          </w:p>
        </w:tc>
      </w:tr>
      <w:tr w:rsidR="00EA1C22" w:rsidRPr="00EA1C22" w:rsidTr="00A774B3">
        <w:trPr>
          <w:trHeight w:val="1327"/>
        </w:trPr>
        <w:tc>
          <w:tcPr>
            <w:tcW w:w="2988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660" w:type="dxa"/>
            <w:gridSpan w:val="2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1C22" w:rsidRPr="00EA1C22" w:rsidRDefault="00D47F03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ul. Reymonta 14, 43-502 Czechowice-Dziedzice</w:t>
            </w:r>
          </w:p>
        </w:tc>
      </w:tr>
      <w:tr w:rsidR="00EA1C22" w:rsidRPr="00EA1C22" w:rsidTr="00A774B3">
        <w:trPr>
          <w:trHeight w:val="188"/>
        </w:trPr>
        <w:tc>
          <w:tcPr>
            <w:tcW w:w="2988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Numer NIP REGON</w:t>
            </w:r>
          </w:p>
        </w:tc>
        <w:tc>
          <w:tcPr>
            <w:tcW w:w="3240" w:type="dxa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NIP, </w:t>
            </w:r>
            <w:r w:rsidR="00D47F03">
              <w:t>6381079207</w:t>
            </w:r>
          </w:p>
        </w:tc>
        <w:tc>
          <w:tcPr>
            <w:tcW w:w="3420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REGON, </w:t>
            </w:r>
            <w:r w:rsidR="00D47F03">
              <w:t>243040020</w:t>
            </w:r>
          </w:p>
        </w:tc>
      </w:tr>
      <w:tr w:rsidR="00EA1C22" w:rsidRPr="00EA1C22" w:rsidTr="00A774B3">
        <w:tc>
          <w:tcPr>
            <w:tcW w:w="2988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6660" w:type="dxa"/>
            <w:gridSpan w:val="2"/>
          </w:tcPr>
          <w:p w:rsidR="00EA1C22" w:rsidRPr="00EA1C22" w:rsidRDefault="00457CA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796999619</w:t>
            </w:r>
          </w:p>
        </w:tc>
      </w:tr>
      <w:tr w:rsidR="00EA1C22" w:rsidRPr="00EA1C22" w:rsidTr="00A774B3">
        <w:trPr>
          <w:trHeight w:val="272"/>
        </w:trPr>
        <w:tc>
          <w:tcPr>
            <w:tcW w:w="2988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6660" w:type="dxa"/>
            <w:gridSpan w:val="2"/>
          </w:tcPr>
          <w:p w:rsidR="00EA1C22" w:rsidRPr="00EA1C22" w:rsidRDefault="00DC233F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kontakt@szwajcarskadolinaczechowice.pl</w:t>
            </w:r>
          </w:p>
        </w:tc>
      </w:tr>
      <w:tr w:rsidR="00EA1C22" w:rsidRPr="00EA1C22" w:rsidTr="00A774B3">
        <w:tc>
          <w:tcPr>
            <w:tcW w:w="2988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Numer faksu</w:t>
            </w:r>
          </w:p>
        </w:tc>
        <w:tc>
          <w:tcPr>
            <w:tcW w:w="6660" w:type="dxa"/>
            <w:gridSpan w:val="2"/>
          </w:tcPr>
          <w:p w:rsidR="00EA1C22" w:rsidRPr="00EA1C22" w:rsidRDefault="004911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218"/>
        </w:trPr>
        <w:tc>
          <w:tcPr>
            <w:tcW w:w="2988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Adres strony internetowej dewelopera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EA1C22" w:rsidRPr="00EA1C22" w:rsidRDefault="004911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www.szwajcarskadolinaczechowice.pl</w:t>
            </w:r>
          </w:p>
        </w:tc>
      </w:tr>
    </w:tbl>
    <w:p w:rsidR="00EA1C22" w:rsidRPr="00EA1C22" w:rsidRDefault="00EA1C22" w:rsidP="009219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00" w:afterAutospacing="1" w:line="240" w:lineRule="auto"/>
        <w:ind w:left="107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A1C22">
        <w:rPr>
          <w:rFonts w:ascii="Times New Roman" w:eastAsia="Times New Roman" w:hAnsi="Times New Roman" w:cs="Times New Roman"/>
          <w:b/>
          <w:sz w:val="20"/>
          <w:szCs w:val="20"/>
        </w:rPr>
        <w:t>DOŚWIADCZENIE DEWELOPERA</w:t>
      </w:r>
    </w:p>
    <w:tbl>
      <w:tblPr>
        <w:tblpPr w:leftFromText="141" w:rightFromText="141" w:vertAnchor="text" w:horzAnchor="margin" w:tblpY="5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EA1C22" w:rsidRPr="00EA1C22" w:rsidTr="00A774B3">
        <w:trPr>
          <w:trHeight w:val="704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E0E0E0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HISTORIA I UDOKUMENTOWANE</w:t>
            </w:r>
            <w:r w:rsidR="009208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DOŚWIADCZENIE DEWELOPERA</w:t>
            </w:r>
          </w:p>
        </w:tc>
      </w:tr>
    </w:tbl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835"/>
      </w:tblGrid>
      <w:tr w:rsidR="00EA1C22" w:rsidRPr="00EA1C22" w:rsidTr="00A774B3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UKOŃCZONEGO PRZEDSIĘWZIĘCIA DEWELOPERSKIEGO (należy wskazać, o ile istnieją, trzy ukończone przedsięwzięcia deweloperskie, w</w:t>
            </w:r>
            <w:r w:rsidR="009208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tym</w:t>
            </w:r>
            <w:r w:rsidR="009208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ostatnie)</w:t>
            </w:r>
          </w:p>
        </w:tc>
      </w:tr>
      <w:tr w:rsidR="00EA1C22" w:rsidRPr="00EA1C22" w:rsidTr="00A774B3">
        <w:trPr>
          <w:trHeight w:val="135"/>
        </w:trPr>
        <w:tc>
          <w:tcPr>
            <w:tcW w:w="2813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Adres </w:t>
            </w:r>
          </w:p>
        </w:tc>
        <w:tc>
          <w:tcPr>
            <w:tcW w:w="6835" w:type="dxa"/>
          </w:tcPr>
          <w:p w:rsidR="00EA1C22" w:rsidRPr="00EA1C22" w:rsidRDefault="0040743E" w:rsidP="00491180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</w:t>
            </w:r>
          </w:p>
        </w:tc>
      </w:tr>
      <w:tr w:rsidR="00EA1C22" w:rsidRPr="00EA1C22" w:rsidTr="00A774B3">
        <w:tc>
          <w:tcPr>
            <w:tcW w:w="2813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:rsidR="00EA1C22" w:rsidRPr="00EA1C22" w:rsidRDefault="004911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</w:t>
            </w:r>
          </w:p>
        </w:tc>
      </w:tr>
      <w:tr w:rsidR="00EA1C22" w:rsidRPr="00EA1C22" w:rsidTr="00A774B3">
        <w:tc>
          <w:tcPr>
            <w:tcW w:w="2813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:rsidR="00EA1C22" w:rsidRPr="00EA1C22" w:rsidRDefault="004911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</w:t>
            </w:r>
          </w:p>
        </w:tc>
      </w:tr>
      <w:tr w:rsidR="00EA1C22" w:rsidRPr="00EA1C22" w:rsidTr="00A774B3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INNEGO UKOŃCZONEGO PRZEDSIĘWZIĘCIA DEWELOPERSKIEGO</w:t>
            </w:r>
          </w:p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1C22" w:rsidRPr="00EA1C22" w:rsidTr="00A774B3">
        <w:trPr>
          <w:trHeight w:val="135"/>
        </w:trPr>
        <w:tc>
          <w:tcPr>
            <w:tcW w:w="2813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:rsidR="00EA1C22" w:rsidRPr="00EA1C22" w:rsidRDefault="004911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</w:t>
            </w:r>
          </w:p>
        </w:tc>
      </w:tr>
      <w:tr w:rsidR="00EA1C22" w:rsidRPr="00EA1C22" w:rsidTr="00A774B3">
        <w:tc>
          <w:tcPr>
            <w:tcW w:w="2813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:rsidR="00EA1C22" w:rsidRPr="00EA1C22" w:rsidRDefault="004911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</w:t>
            </w:r>
          </w:p>
        </w:tc>
      </w:tr>
      <w:tr w:rsidR="00EA1C22" w:rsidRPr="00EA1C22" w:rsidTr="00A774B3">
        <w:tc>
          <w:tcPr>
            <w:tcW w:w="2813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:rsidR="00EA1C22" w:rsidRPr="00EA1C22" w:rsidRDefault="004911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</w:t>
            </w:r>
          </w:p>
        </w:tc>
      </w:tr>
      <w:tr w:rsidR="00EA1C22" w:rsidRPr="00EA1C22" w:rsidTr="00A774B3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EA1C22" w:rsidRPr="00EA1C22" w:rsidRDefault="00EA1C22" w:rsidP="00EA1C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OSTATNIEGO UKOŃCZONEGO PRZEDSIĘWZIĘCIA DEWELOPERSKIEGO</w:t>
            </w:r>
          </w:p>
          <w:p w:rsidR="00EA1C22" w:rsidRPr="00EA1C22" w:rsidRDefault="00EA1C22" w:rsidP="00EA1C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1C22" w:rsidRPr="00EA1C22" w:rsidTr="00A774B3">
        <w:trPr>
          <w:trHeight w:val="135"/>
        </w:trPr>
        <w:tc>
          <w:tcPr>
            <w:tcW w:w="2813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:rsidR="00EA1C22" w:rsidRPr="00EA1C22" w:rsidRDefault="004911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43-300 Bielsko, ul. Głogowska 18 - 20</w:t>
            </w:r>
          </w:p>
        </w:tc>
      </w:tr>
      <w:tr w:rsidR="00EA1C22" w:rsidRPr="00EA1C22" w:rsidTr="00A774B3">
        <w:tc>
          <w:tcPr>
            <w:tcW w:w="2813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:rsidR="00EA1C22" w:rsidRPr="00EA1C22" w:rsidRDefault="004911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21.04.2020</w:t>
            </w:r>
          </w:p>
        </w:tc>
      </w:tr>
      <w:tr w:rsidR="00EA1C22" w:rsidRPr="00EA1C22" w:rsidTr="00A774B3">
        <w:tc>
          <w:tcPr>
            <w:tcW w:w="2813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:rsidR="00EA1C22" w:rsidRPr="00EA1C22" w:rsidRDefault="004911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22.06.2022</w:t>
            </w:r>
          </w:p>
        </w:tc>
      </w:tr>
    </w:tbl>
    <w:p w:rsidR="00EA1C22" w:rsidRPr="00EA1C22" w:rsidRDefault="00EA1C22" w:rsidP="00EA1C22">
      <w:pPr>
        <w:spacing w:beforeLines="60" w:before="144"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40"/>
      </w:tblGrid>
      <w:tr w:rsidR="00EA1C22" w:rsidRPr="00EA1C22" w:rsidTr="00A774B3">
        <w:tc>
          <w:tcPr>
            <w:tcW w:w="2808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Czy przeciwko deweloperowi prowadzono lub prowadzi się postępowania egzekucyjne na kwotę powyżej 100 000 zł</w:t>
            </w:r>
          </w:p>
        </w:tc>
        <w:tc>
          <w:tcPr>
            <w:tcW w:w="6840" w:type="dxa"/>
          </w:tcPr>
          <w:p w:rsidR="00EA1C22" w:rsidRPr="00EA1C22" w:rsidRDefault="004911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</w:tbl>
    <w:p w:rsidR="00EA1C22" w:rsidRPr="00EA1C22" w:rsidRDefault="00EA1C22" w:rsidP="00921952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p w:rsidR="00EA1C22" w:rsidRPr="00EA1C22" w:rsidRDefault="00EA1C22" w:rsidP="00A774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240" w:lineRule="auto"/>
        <w:ind w:left="107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1C22">
        <w:rPr>
          <w:rFonts w:ascii="Times New Roman" w:eastAsia="Times New Roman" w:hAnsi="Times New Roman" w:cs="Times New Roman"/>
          <w:b/>
          <w:bCs/>
          <w:sz w:val="20"/>
          <w:szCs w:val="20"/>
        </w:rPr>
        <w:t>INFORMACJE DOTYCZĄCE NIERUCHOMOŚCI I PRZEDSIĘWZIĘCIA DEWELOPERSKIEGO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3419"/>
        <w:gridCol w:w="3419"/>
      </w:tblGrid>
      <w:tr w:rsidR="00EA1C22" w:rsidRPr="00EA1C22" w:rsidTr="00A774B3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INFORMACJE DOTYCZĄCE GRUNTU I ZAGOSPODAROWANIA PRZESTRZENNEGO TERENU</w:t>
            </w:r>
          </w:p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1C22" w:rsidRPr="00EA1C22" w:rsidTr="00A774B3">
        <w:trPr>
          <w:trHeight w:val="135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Adres i numer działki ewidencyjnej i obrębu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1"/>
              <w:t>1)</w:t>
            </w:r>
          </w:p>
        </w:tc>
        <w:tc>
          <w:tcPr>
            <w:tcW w:w="6838" w:type="dxa"/>
            <w:gridSpan w:val="2"/>
          </w:tcPr>
          <w:p w:rsidR="003D3D96" w:rsidRDefault="003D3D96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43-502 </w:t>
            </w:r>
            <w:r w:rsidR="00DE4141">
              <w:rPr>
                <w:rFonts w:ascii="Times New Roman" w:eastAsia="Times New Roman" w:hAnsi="Times New Roman" w:cs="Times New Roman"/>
                <w:sz w:val="20"/>
                <w:szCs w:val="20"/>
              </w:rPr>
              <w:t>Czechowice-Dziedzice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DE41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ul. Łukowa, nr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działek: </w:t>
            </w:r>
          </w:p>
          <w:p w:rsidR="00EA1C22" w:rsidRPr="00EA1C22" w:rsidRDefault="00DE4141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Lato"/>
                <w:b/>
                <w:bCs/>
                <w:sz w:val="24"/>
                <w:szCs w:val="24"/>
              </w:rPr>
              <w:t>3332/27, 3332/28, 3332/30</w:t>
            </w:r>
            <w:r w:rsidR="003D3D96">
              <w:rPr>
                <w:rFonts w:ascii="Lato" w:hAnsi="Lato" w:cs="Lato"/>
                <w:b/>
                <w:bCs/>
                <w:sz w:val="24"/>
                <w:szCs w:val="24"/>
              </w:rPr>
              <w:t xml:space="preserve"> </w:t>
            </w:r>
            <w:r w:rsidR="003D3D96">
              <w:rPr>
                <w:rFonts w:cs="Calibri"/>
                <w:sz w:val="20"/>
                <w:szCs w:val="20"/>
              </w:rPr>
              <w:t>obręb: 0001 Czechowice</w:t>
            </w:r>
          </w:p>
        </w:tc>
      </w:tr>
      <w:tr w:rsidR="00EA1C22" w:rsidRPr="00EA1C22" w:rsidTr="00A774B3">
        <w:trPr>
          <w:trHeight w:val="98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Numer księgi wieczystej </w:t>
            </w:r>
          </w:p>
        </w:tc>
        <w:tc>
          <w:tcPr>
            <w:tcW w:w="6838" w:type="dxa"/>
            <w:gridSpan w:val="2"/>
            <w:shd w:val="clear" w:color="auto" w:fill="auto"/>
          </w:tcPr>
          <w:p w:rsidR="00EA1C22" w:rsidRPr="00EA1C22" w:rsidRDefault="00E8714F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KA1P/00059932/7,</w:t>
            </w:r>
          </w:p>
        </w:tc>
      </w:tr>
      <w:tr w:rsidR="00EA1C22" w:rsidRPr="00EA1C22" w:rsidTr="00A774B3">
        <w:trPr>
          <w:trHeight w:val="98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Istniejące obciążenia hipoteczne nieruchomości lub wnioski o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wpis w dziale czwartym księgi wieczystej</w:t>
            </w:r>
          </w:p>
        </w:tc>
        <w:tc>
          <w:tcPr>
            <w:tcW w:w="6838" w:type="dxa"/>
            <w:gridSpan w:val="2"/>
            <w:shd w:val="clear" w:color="auto" w:fill="auto"/>
          </w:tcPr>
          <w:p w:rsidR="00EA1C22" w:rsidRPr="00EA1C22" w:rsidRDefault="00E8714F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BRAK</w:t>
            </w:r>
          </w:p>
        </w:tc>
      </w:tr>
      <w:tr w:rsidR="00EA1C22" w:rsidRPr="00EA1C22" w:rsidTr="00A774B3">
        <w:trPr>
          <w:trHeight w:val="97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 przypadku braku księgi wieczystej informacja o powierzchni działki i stanie prawnym nieruchomości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2"/>
              <w:t>2)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8" w:type="dxa"/>
            <w:gridSpan w:val="2"/>
            <w:shd w:val="clear" w:color="auto" w:fill="auto"/>
          </w:tcPr>
          <w:p w:rsidR="00EA1C22" w:rsidRPr="00EA1C22" w:rsidRDefault="00E8714F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EA1C22" w:rsidRPr="00EA1C22" w:rsidTr="00A774B3">
        <w:trPr>
          <w:trHeight w:val="97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Informacje dotyczące obiektów istniejących położonych w sąsiedztwie inwestycji i wpływających na warunki życia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3"/>
              <w:t>3)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2"/>
            <w:shd w:val="clear" w:color="auto" w:fill="auto"/>
          </w:tcPr>
          <w:p w:rsid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Uwarunkowania lokalizacji inwestycji wynikających z przepisów odrębnych oraz z istniejącego stanu użytkowania terenów sąsiednich (np. z funkcji terenu, stref ochronnych, uciążliwości)</w:t>
            </w:r>
          </w:p>
          <w:p w:rsidR="00BB024C" w:rsidRDefault="00BB024C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Nieruchomość zlokalizowana jest wśród zabudowy mieszkaniowej jednorodzinnej i </w:t>
            </w:r>
            <w:r w:rsidR="00A0274B">
              <w:rPr>
                <w:rFonts w:ascii="Times New Roman" w:eastAsia="Times New Roman" w:hAnsi="Times New Roman" w:cs="Times New Roman"/>
                <w:sz w:val="20"/>
                <w:szCs w:val="20"/>
              </w:rPr>
              <w:t>wielorodzinnej. Na północnym-wschodzie znajdują się m.in.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teren</w:t>
            </w:r>
            <w:r w:rsidR="00A0274B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zielon</w:t>
            </w:r>
            <w:r w:rsidR="00A0274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Miejskiego Ośrodka Sportu MOSIR z parkiem, stadionem, terenem z basenami otwartymi, basenem krytym oraz lodowiskiem </w:t>
            </w:r>
            <w:r w:rsidR="00A02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zimie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kortami ziemnymi</w:t>
            </w:r>
            <w:r w:rsidR="00A02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lecie.</w:t>
            </w:r>
          </w:p>
          <w:p w:rsidR="00BB024C" w:rsidRDefault="00BB024C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 strony południowej teren graniczy z ul. Łukową i działką zabudowaną budynkiem jednorodzinnym.</w:t>
            </w:r>
          </w:p>
          <w:p w:rsidR="00A0274B" w:rsidRDefault="00BB024C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 strony </w:t>
            </w:r>
            <w:r w:rsidR="00790BB5">
              <w:rPr>
                <w:rFonts w:ascii="Times New Roman" w:eastAsia="Times New Roman" w:hAnsi="Times New Roman" w:cs="Times New Roman"/>
                <w:sz w:val="20"/>
                <w:szCs w:val="20"/>
              </w:rPr>
              <w:t>zachodniej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teren graniczy z drogą wewnętrzną</w:t>
            </w:r>
            <w:r w:rsidR="00790B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działką zabudowaną budynkiem jednorodzinnym.</w:t>
            </w:r>
          </w:p>
          <w:p w:rsidR="00790BB5" w:rsidRDefault="00790BB5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 strony północnej teren graniczy z nieruchomością zabudowaną budynkiem wielorodzinnym. </w:t>
            </w:r>
          </w:p>
          <w:p w:rsidR="00790BB5" w:rsidRDefault="00790BB5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 strony wschodniej teren graniczy z działkami niezabudowanymi.</w:t>
            </w:r>
          </w:p>
          <w:p w:rsidR="00BB024C" w:rsidRPr="00EA1C22" w:rsidRDefault="00790BB5" w:rsidP="00A0274B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promieniu 1 km znajduje się przedszkole, szkoła, przystanek autobusowy, </w:t>
            </w:r>
            <w:r w:rsidR="00F66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Miejski Ośrodek Sportu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MOSIR, </w:t>
            </w:r>
            <w:r w:rsidR="00B84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park, basen, </w:t>
            </w:r>
            <w:r w:rsidR="00F66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hotel. </w:t>
            </w:r>
            <w:r w:rsidR="00BB02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1C22" w:rsidRPr="00EA1C22" w:rsidTr="00A774B3">
        <w:trPr>
          <w:trHeight w:val="320"/>
        </w:trPr>
        <w:tc>
          <w:tcPr>
            <w:tcW w:w="2810" w:type="dxa"/>
            <w:vMerge w:val="restart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 planowania przestrzennego i inne akty prawne na podstawie przepisów odrębnych na terenie objętym przedsięwzięciem deweloperskim lub zadaniem inwestycyjnym</w:t>
            </w:r>
          </w:p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Ramowe studium uwarunkowań i kierunków zagospodarowania przestrzennego związku metropolitalnego</w:t>
            </w:r>
          </w:p>
        </w:tc>
        <w:tc>
          <w:tcPr>
            <w:tcW w:w="3419" w:type="dxa"/>
            <w:vMerge w:val="restart"/>
            <w:shd w:val="clear" w:color="auto" w:fill="auto"/>
          </w:tcPr>
          <w:p w:rsidR="00EA1C22" w:rsidRPr="00A774B3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74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Numer i data aktu normatywnego, nazwa organu oraz miejsce publikacji; w przypadku studium </w:t>
            </w:r>
            <w:r w:rsidR="00920895" w:rsidRPr="00A774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774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link do</w:t>
            </w:r>
            <w:r w:rsidR="00920895" w:rsidRPr="00A774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4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strony internetowej, na której jest zamieszczone, </w:t>
            </w:r>
            <w:proofErr w:type="spellStart"/>
            <w:r w:rsidRPr="00A774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geoportal</w:t>
            </w:r>
            <w:proofErr w:type="spellEnd"/>
          </w:p>
          <w:p w:rsidR="00364230" w:rsidRPr="00A774B3" w:rsidRDefault="00364230" w:rsidP="00A774B3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74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objęty</w:t>
            </w:r>
            <w:r w:rsidR="00E62B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 przedsięwzięciem deweloperski</w:t>
            </w:r>
            <w:r w:rsidRPr="00A774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 nie ma miejscowego planu zagospodarowania przestrzennego.</w:t>
            </w:r>
          </w:p>
          <w:p w:rsidR="00364230" w:rsidRPr="00A774B3" w:rsidRDefault="00364230" w:rsidP="00364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>Studium Uwarunkowań i Kierunków</w:t>
            </w:r>
          </w:p>
          <w:p w:rsidR="00364230" w:rsidRPr="00A774B3" w:rsidRDefault="00364230" w:rsidP="00364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>Zagospodarowania Przestrzennego</w:t>
            </w:r>
          </w:p>
          <w:p w:rsidR="00364230" w:rsidRPr="00A774B3" w:rsidRDefault="00364230" w:rsidP="00364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>przyjęty Uchwałą Nr XXXIV/379/17</w:t>
            </w:r>
          </w:p>
          <w:p w:rsidR="00364230" w:rsidRPr="00A774B3" w:rsidRDefault="00364230" w:rsidP="00364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>Rady Miejskiej w Czechowicach-</w:t>
            </w:r>
          </w:p>
          <w:p w:rsidR="00364230" w:rsidRPr="00A774B3" w:rsidRDefault="00364230" w:rsidP="00364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>Dziedzicach z dnia 30 maja 2017r. w</w:t>
            </w:r>
          </w:p>
          <w:p w:rsidR="00364230" w:rsidRPr="00A774B3" w:rsidRDefault="00A774B3" w:rsidP="00364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sprawie uchwalenia Studium </w:t>
            </w:r>
            <w:r w:rsidR="00364230" w:rsidRPr="00A774B3">
              <w:rPr>
                <w:rFonts w:ascii="Times New Roman" w:hAnsi="Times New Roman" w:cs="Times New Roman"/>
                <w:sz w:val="20"/>
                <w:szCs w:val="20"/>
              </w:rPr>
              <w:t>uwarunkowań i kierunków</w:t>
            </w:r>
          </w:p>
          <w:p w:rsidR="00A774B3" w:rsidRDefault="00364230" w:rsidP="00364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zagosp</w:t>
            </w:r>
            <w:r w:rsidR="00A774B3">
              <w:rPr>
                <w:rFonts w:ascii="Times New Roman" w:hAnsi="Times New Roman" w:cs="Times New Roman"/>
                <w:sz w:val="20"/>
                <w:szCs w:val="20"/>
              </w:rPr>
              <w:t xml:space="preserve">odarowania przestrzennego Gminy Czechowice-Dziedzice; działki </w:t>
            </w:r>
            <w:r w:rsidR="00A774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74B3" w:rsidRPr="00A774B3">
              <w:rPr>
                <w:rFonts w:ascii="Times New Roman" w:hAnsi="Times New Roman" w:cs="Times New Roman"/>
                <w:sz w:val="20"/>
                <w:szCs w:val="20"/>
              </w:rPr>
              <w:t>3332/27, 3332/28, 3332/30 obręb: 0001 Czechowice</w:t>
            </w:r>
            <w:r w:rsidR="00A774B3">
              <w:rPr>
                <w:rFonts w:ascii="Times New Roman" w:hAnsi="Times New Roman" w:cs="Times New Roman"/>
                <w:sz w:val="20"/>
                <w:szCs w:val="20"/>
              </w:rPr>
              <w:t xml:space="preserve"> położone</w:t>
            </w: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 xml:space="preserve"> w Czechowicach – Dzied</w:t>
            </w:r>
            <w:r w:rsidR="00A774B3">
              <w:rPr>
                <w:rFonts w:ascii="Times New Roman" w:hAnsi="Times New Roman" w:cs="Times New Roman"/>
                <w:sz w:val="20"/>
                <w:szCs w:val="20"/>
              </w:rPr>
              <w:t xml:space="preserve">zicach </w:t>
            </w: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>przy ul.</w:t>
            </w:r>
            <w:r w:rsidR="00A774B3">
              <w:rPr>
                <w:rFonts w:ascii="Times New Roman" w:hAnsi="Times New Roman" w:cs="Times New Roman"/>
                <w:sz w:val="20"/>
                <w:szCs w:val="20"/>
              </w:rPr>
              <w:t xml:space="preserve"> Łukowej znajdują się na </w:t>
            </w: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>terenie</w:t>
            </w:r>
            <w:r w:rsidR="00A774B3">
              <w:rPr>
                <w:rFonts w:ascii="Times New Roman" w:hAnsi="Times New Roman" w:cs="Times New Roman"/>
                <w:sz w:val="20"/>
                <w:szCs w:val="20"/>
              </w:rPr>
              <w:t>, które zostały oznaczone w studium następującymi symbolami:</w:t>
            </w:r>
          </w:p>
          <w:p w:rsidR="00982437" w:rsidRDefault="00982437" w:rsidP="00364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F.3.MU</w:t>
            </w:r>
            <w:r w:rsidR="00364230" w:rsidRPr="00A774B3">
              <w:rPr>
                <w:rFonts w:ascii="Times New Roman" w:hAnsi="Times New Roman" w:cs="Times New Roman"/>
                <w:sz w:val="20"/>
                <w:szCs w:val="20"/>
              </w:rPr>
              <w:t xml:space="preserve"> - teren zabudowy mieszkaniow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o-usługowej</w:t>
            </w:r>
            <w:r w:rsidR="00875AAA">
              <w:rPr>
                <w:rFonts w:ascii="Times New Roman" w:hAnsi="Times New Roman" w:cs="Times New Roman"/>
                <w:sz w:val="20"/>
                <w:szCs w:val="20"/>
              </w:rPr>
              <w:t>, kierunek przeznaczenia dominującego: zabudowa mieszkaniowa wielorodzinna, zabudowa usługowa</w:t>
            </w:r>
          </w:p>
          <w:p w:rsidR="00824C6E" w:rsidRDefault="00824C6E" w:rsidP="00364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45E" w:rsidRPr="0062645E" w:rsidRDefault="0062645E" w:rsidP="00626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Uchwała Rady Miejskiej Nr XXXV/392/17 - </w:t>
            </w:r>
            <w:r w:rsidRPr="0062645E">
              <w:rPr>
                <w:rFonts w:ascii="Times New Roman" w:hAnsi="Times New Roman" w:cs="Times New Roman"/>
                <w:sz w:val="20"/>
                <w:szCs w:val="20"/>
              </w:rPr>
              <w:t xml:space="preserve"> Program Rewitalizacji Gminy Czechowice-Dziedzice, który był aktualizowany w 2019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Uchwałą nr </w:t>
            </w: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>VII/64/19 z dn</w:t>
            </w:r>
            <w:r w:rsidR="00891DF3">
              <w:rPr>
                <w:rFonts w:ascii="Times New Roman" w:hAnsi="Times New Roman" w:cs="Times New Roman"/>
                <w:sz w:val="20"/>
                <w:szCs w:val="20"/>
              </w:rPr>
              <w:t xml:space="preserve">. 26 marca </w:t>
            </w: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>2019 r.</w:t>
            </w:r>
          </w:p>
          <w:p w:rsidR="0062645E" w:rsidRPr="0062645E" w:rsidRDefault="0062645E" w:rsidP="00626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45E">
              <w:rPr>
                <w:rFonts w:ascii="Times New Roman" w:hAnsi="Times New Roman" w:cs="Times New Roman"/>
                <w:sz w:val="20"/>
                <w:szCs w:val="20"/>
              </w:rPr>
              <w:t>Program oparty jest na zaleceniach wskazanych zarówno w "Wytycznych w zakresie rewitalizacji</w:t>
            </w:r>
          </w:p>
          <w:p w:rsidR="0062645E" w:rsidRPr="0062645E" w:rsidRDefault="0062645E" w:rsidP="00626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45E">
              <w:rPr>
                <w:rFonts w:ascii="Times New Roman" w:hAnsi="Times New Roman" w:cs="Times New Roman"/>
                <w:sz w:val="20"/>
                <w:szCs w:val="20"/>
              </w:rPr>
              <w:t>w programach operacyjnych na lata 2014-2020" Ministerstwa Rozwoju z dnia 2 sierpnia 2016 r., jak</w:t>
            </w:r>
          </w:p>
          <w:p w:rsidR="0062645E" w:rsidRPr="0062645E" w:rsidRDefault="0062645E" w:rsidP="00626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45E">
              <w:rPr>
                <w:rFonts w:ascii="Times New Roman" w:hAnsi="Times New Roman" w:cs="Times New Roman"/>
                <w:sz w:val="20"/>
                <w:szCs w:val="20"/>
              </w:rPr>
              <w:t>i w "Zasadach wsparcia rewitalizacji w ramach Regionalnego Programu Operacyjnego Województwa</w:t>
            </w:r>
          </w:p>
          <w:p w:rsidR="00891DF3" w:rsidRDefault="0062645E" w:rsidP="00626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45E">
              <w:rPr>
                <w:rFonts w:ascii="Times New Roman" w:hAnsi="Times New Roman" w:cs="Times New Roman"/>
                <w:sz w:val="20"/>
                <w:szCs w:val="20"/>
              </w:rPr>
              <w:t>Śląskiego na lata 2014-2020"</w:t>
            </w:r>
            <w:r w:rsidR="00891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4230" w:rsidRPr="00A774B3" w:rsidRDefault="00364230" w:rsidP="00626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>Nieruchomość nie podlega pod</w:t>
            </w:r>
          </w:p>
          <w:p w:rsidR="00364230" w:rsidRPr="00A774B3" w:rsidRDefault="00364230" w:rsidP="00A774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4B3">
              <w:rPr>
                <w:rFonts w:ascii="Times New Roman" w:hAnsi="Times New Roman" w:cs="Times New Roman"/>
                <w:sz w:val="20"/>
                <w:szCs w:val="20"/>
              </w:rPr>
              <w:t>miejscowy plan odbudowy</w:t>
            </w:r>
          </w:p>
        </w:tc>
      </w:tr>
      <w:tr w:rsidR="00EA1C22" w:rsidRPr="00EA1C22" w:rsidTr="00A774B3">
        <w:trPr>
          <w:trHeight w:val="317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Studium uwarunkowań i kierunków zagospodarowania przestrzennego gminy</w:t>
            </w:r>
          </w:p>
        </w:tc>
        <w:tc>
          <w:tcPr>
            <w:tcW w:w="3419" w:type="dxa"/>
            <w:vMerge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22" w:rsidRPr="00EA1C22" w:rsidTr="00A774B3">
        <w:trPr>
          <w:trHeight w:val="317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Miejscowy plan zagospodarowania przestrzennego</w:t>
            </w:r>
          </w:p>
        </w:tc>
        <w:tc>
          <w:tcPr>
            <w:tcW w:w="3419" w:type="dxa"/>
            <w:vMerge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22" w:rsidRPr="00EA1C22" w:rsidTr="00A774B3">
        <w:trPr>
          <w:trHeight w:val="317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Miejscowy plan rewitalizacji</w:t>
            </w:r>
          </w:p>
        </w:tc>
        <w:tc>
          <w:tcPr>
            <w:tcW w:w="3419" w:type="dxa"/>
            <w:vMerge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22" w:rsidRPr="00EA1C22" w:rsidTr="00A774B3">
        <w:trPr>
          <w:trHeight w:val="317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Miejscowy plan odbudowy </w:t>
            </w:r>
          </w:p>
        </w:tc>
        <w:tc>
          <w:tcPr>
            <w:tcW w:w="3419" w:type="dxa"/>
            <w:vMerge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22" w:rsidRPr="00EA1C22" w:rsidTr="00A774B3">
        <w:trPr>
          <w:trHeight w:val="317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customMarkFollows="1" w:id="4"/>
              <w:t>4)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9" w:type="dxa"/>
            <w:vMerge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22" w:rsidRPr="00EA1C22" w:rsidTr="00A774B3">
        <w:trPr>
          <w:trHeight w:val="60"/>
        </w:trPr>
        <w:tc>
          <w:tcPr>
            <w:tcW w:w="2810" w:type="dxa"/>
            <w:vMerge w:val="restart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Ustalenia obowiązującego miejscowego planu zagospodarowania przestrzennego dla terenu objętego przedsięwzięciem deweloperskim lub zadaniem inwestycyjnym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 terenu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4134B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5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 minimalna intensywność zabudowy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4134B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Brak </w:t>
            </w:r>
          </w:p>
        </w:tc>
      </w:tr>
      <w:tr w:rsidR="00EA1C22" w:rsidRPr="00EA1C22" w:rsidTr="00A774B3">
        <w:trPr>
          <w:trHeight w:val="5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5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5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5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5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5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5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5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5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288"/>
        </w:trPr>
        <w:tc>
          <w:tcPr>
            <w:tcW w:w="2810" w:type="dxa"/>
            <w:vMerge w:val="restart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Ustalenia obowiązującego miejscowego planu zagospodarowania przestrzennego</w:t>
            </w:r>
            <w:r w:rsidR="009208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działek lub ich fragmentów, znajdujących się w odległości do 100 m od granicy terenu objętego przedsięwzięciem deweloperskim lub zadaniem inwestycyjnym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customMarkFollows="1" w:id="5"/>
              <w:t>*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 terenu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288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 minimalna intensywność zabudowy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288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288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288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7752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A1C22" w:rsidRPr="00EA1C22" w:rsidTr="00A774B3">
        <w:trPr>
          <w:trHeight w:val="1687"/>
        </w:trPr>
        <w:tc>
          <w:tcPr>
            <w:tcW w:w="2810" w:type="dxa"/>
            <w:vMerge w:val="restart"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Ustalenia decyzji o warunkach zabudowy albo decyzji o ustaleniu lokalizacji inwestycji celu publicznego dla terenu objętego przedsięwzięciem deweloperskim lub zadaniem inwestycyjnym w przypadku braku miejscowego planu zagospodarowania przestrzennego</w:t>
            </w:r>
          </w:p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Funkcja zabudowy i zagospodarowania terenu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Sposób użytkowania obiektów budowlanych oraz zagospodarowania terenu</w:t>
            </w:r>
          </w:p>
        </w:tc>
      </w:tr>
      <w:tr w:rsidR="00EA1C22" w:rsidRPr="00EA1C22" w:rsidTr="00A774B3">
        <w:trPr>
          <w:trHeight w:val="1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2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Cechy zabudowy i zagospodarowania terenu:</w:t>
            </w:r>
          </w:p>
        </w:tc>
      </w:tr>
      <w:tr w:rsidR="00EA1C22" w:rsidRPr="00EA1C22" w:rsidTr="00A774B3">
        <w:trPr>
          <w:trHeight w:val="1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C0640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EA1C22"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abaryty</w:t>
            </w:r>
          </w:p>
        </w:tc>
        <w:tc>
          <w:tcPr>
            <w:tcW w:w="3419" w:type="dxa"/>
            <w:shd w:val="clear" w:color="auto" w:fill="auto"/>
          </w:tcPr>
          <w:p w:rsidR="00331FA6" w:rsidRPr="00EA1C22" w:rsidRDefault="00A9659B" w:rsidP="00E511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Szerokość elewacji frontowej: od drogi wewnętrznej tj. dz. </w:t>
            </w:r>
            <w:r w:rsidR="00E51137">
              <w:rPr>
                <w:rFonts w:ascii="Times New Roman" w:eastAsia="Times New Roman" w:hAnsi="Times New Roman" w:cs="Times New Roman"/>
                <w:sz w:val="20"/>
                <w:szCs w:val="20"/>
              </w:rPr>
              <w:t>nr 3332/23 dla działek nr 3332/27 oraz nr 3332/28 bezpośrednio do tej drogi przylegających: 27,5m z dopuszczeniem 20% tolerancji – od strony drogi publicznej gminnej ul. Łukowej tj. działki nr 4576/1 dla działki nr 3332/30, bezpośrednio do tej drogi przylegającej: 13,1m z dopuszczeniem 20% tolerancji, łączna długość projektowanego budynku na działkach nie może przekroczyć 45m.</w:t>
            </w:r>
            <w:r w:rsidR="00331F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Powierzchnia zabudowy 259m2-621,6m2, ilość kondygnacji 2-4,  naziemnych, wysokość zabudowy od 7-12,5.</w:t>
            </w:r>
          </w:p>
        </w:tc>
      </w:tr>
      <w:tr w:rsidR="00EA1C22" w:rsidRPr="00EA1C22" w:rsidTr="00A774B3">
        <w:trPr>
          <w:trHeight w:val="1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architektoniczna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A207DF" w:rsidP="00331FA6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="00331FA6">
              <w:rPr>
                <w:rFonts w:ascii="Times New Roman" w:eastAsia="Times New Roman" w:hAnsi="Times New Roman" w:cs="Times New Roman"/>
                <w:sz w:val="20"/>
                <w:szCs w:val="20"/>
              </w:rPr>
              <w:t>abudowa mieszkaniowa wielorodzinna, dach płaski lub dwuspadowy o kącie nachylenia 20-45 stopni.</w:t>
            </w:r>
          </w:p>
        </w:tc>
      </w:tr>
      <w:tr w:rsidR="00EA1C22" w:rsidRPr="00EA1C22" w:rsidTr="00A774B3">
        <w:trPr>
          <w:trHeight w:val="1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linii zabudowy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295946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Min. 6m od krawędzi jezdni drogi publicznej gminnej ul. Łukowej, oraz min. 6m od granicy działki 3332/23, stanowiącej drogę wewnętrzną oraz dojazd do planowanej inwestycji.</w:t>
            </w:r>
          </w:p>
        </w:tc>
      </w:tr>
      <w:tr w:rsidR="00EA1C22" w:rsidRPr="00EA1C22" w:rsidTr="00A774B3">
        <w:trPr>
          <w:trHeight w:val="1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intensywność wykorzystania terenu</w:t>
            </w:r>
          </w:p>
        </w:tc>
        <w:tc>
          <w:tcPr>
            <w:tcW w:w="3419" w:type="dxa"/>
            <w:shd w:val="clear" w:color="auto" w:fill="auto"/>
          </w:tcPr>
          <w:p w:rsidR="00EA1C22" w:rsidRDefault="00A9659B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Wskaźnik powierzchni zabudowy w stosunku do powierzchni działki inwestycyjnej: od 10-24%.</w:t>
            </w:r>
          </w:p>
          <w:p w:rsidR="00A9659B" w:rsidRPr="00EA1C22" w:rsidRDefault="00A9659B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Min. udział zieleni: 25%</w:t>
            </w:r>
          </w:p>
        </w:tc>
      </w:tr>
      <w:tr w:rsidR="00EA1C22" w:rsidRPr="00EA1C22" w:rsidTr="00A774B3">
        <w:trPr>
          <w:trHeight w:val="1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3E0A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Chronić istniejący drzewostan, ewentualne wycinki drzew uzgadniać w tutejszym Urzędzi</w:t>
            </w:r>
            <w:r w:rsidR="005F6D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uzyskać pozwolenie.</w:t>
            </w:r>
          </w:p>
        </w:tc>
      </w:tr>
      <w:tr w:rsidR="00EA1C22" w:rsidRPr="00EA1C22" w:rsidTr="00A774B3">
        <w:trPr>
          <w:trHeight w:val="1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3E0A80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 </w:t>
            </w:r>
            <w:r w:rsidR="00D72FEC">
              <w:rPr>
                <w:rFonts w:ascii="Times New Roman" w:eastAsia="Times New Roman" w:hAnsi="Times New Roman" w:cs="Times New Roman"/>
                <w:sz w:val="20"/>
                <w:szCs w:val="20"/>
              </w:rPr>
              <w:t>dotyczy.</w:t>
            </w:r>
          </w:p>
        </w:tc>
      </w:tr>
      <w:tr w:rsidR="00EA1C22" w:rsidRPr="00EA1C22" w:rsidTr="00A774B3">
        <w:trPr>
          <w:trHeight w:val="1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D72FEC" w:rsidP="00D72FEC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D72FEC">
              <w:rPr>
                <w:rFonts w:ascii="Times New Roman" w:eastAsia="Times New Roman" w:hAnsi="Times New Roman" w:cs="Times New Roman"/>
                <w:sz w:val="20"/>
                <w:szCs w:val="20"/>
              </w:rPr>
              <w:t>miana zag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ospodarowania dotyczy terenu, który nie jest położony </w:t>
            </w:r>
            <w:r w:rsidRPr="00D72FEC">
              <w:rPr>
                <w:rFonts w:ascii="Times New Roman" w:eastAsia="Times New Roman" w:hAnsi="Times New Roman" w:cs="Times New Roman"/>
                <w:sz w:val="20"/>
                <w:szCs w:val="20"/>
              </w:rPr>
              <w:t>w sąsiedztwie obiektów, obszarów,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których mowa w art. 6 ustawy </w:t>
            </w:r>
            <w:r w:rsidRPr="00D72FEC">
              <w:rPr>
                <w:rFonts w:ascii="Times New Roman" w:eastAsia="Times New Roman" w:hAnsi="Times New Roman" w:cs="Times New Roman"/>
                <w:sz w:val="20"/>
                <w:szCs w:val="20"/>
              </w:rPr>
              <w:t>o ochronie zabytków i opiece nad zab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ytkami. Również nie jest objęty </w:t>
            </w:r>
            <w:r w:rsidRPr="00D72FEC">
              <w:rPr>
                <w:rFonts w:ascii="Times New Roman" w:eastAsia="Times New Roman" w:hAnsi="Times New Roman" w:cs="Times New Roman"/>
                <w:sz w:val="20"/>
                <w:szCs w:val="20"/>
              </w:rPr>
              <w:t>żadną z form ochrony zabytków w myśl art. 7 ww. ustawy.</w:t>
            </w:r>
          </w:p>
        </w:tc>
      </w:tr>
      <w:tr w:rsidR="00EA1C22" w:rsidRPr="00EA1C22" w:rsidTr="00A774B3">
        <w:trPr>
          <w:trHeight w:val="1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D72FEC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EA1C22" w:rsidRPr="00EA1C22" w:rsidTr="00A774B3">
        <w:trPr>
          <w:trHeight w:val="1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3419" w:type="dxa"/>
            <w:shd w:val="clear" w:color="auto" w:fill="auto"/>
          </w:tcPr>
          <w:p w:rsidR="00EA1C22" w:rsidRDefault="00D72FEC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Obsługa komunikacyjna inwestycji poprzez 2 zjazdy:</w:t>
            </w:r>
          </w:p>
          <w:p w:rsidR="00D72FEC" w:rsidRDefault="00D72FEC" w:rsidP="00D72FEC">
            <w:p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- </w:t>
            </w:r>
            <w:r w:rsidRPr="00D72FEC">
              <w:rPr>
                <w:rFonts w:cs="Times New Roman"/>
                <w:sz w:val="20"/>
              </w:rPr>
              <w:t>Z drogi publicznej gminnej ul. Łukowej</w:t>
            </w:r>
          </w:p>
          <w:p w:rsidR="00D72FEC" w:rsidRPr="00D72FEC" w:rsidRDefault="00D72FEC" w:rsidP="00D72FEC">
            <w:p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- </w:t>
            </w:r>
            <w:r w:rsidRPr="00D72FEC">
              <w:rPr>
                <w:rFonts w:cs="Times New Roman"/>
                <w:sz w:val="20"/>
              </w:rPr>
              <w:t>Z wewnętrznej drogi dojazdowej, tj. dz. nr 3332/23</w:t>
            </w:r>
            <w:r>
              <w:rPr>
                <w:rFonts w:cs="Times New Roman"/>
                <w:sz w:val="20"/>
              </w:rPr>
              <w:t>.</w:t>
            </w:r>
          </w:p>
        </w:tc>
      </w:tr>
      <w:tr w:rsidR="00EA1C22" w:rsidRPr="00EA1C22" w:rsidTr="00A774B3">
        <w:trPr>
          <w:trHeight w:val="1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3419" w:type="dxa"/>
            <w:shd w:val="clear" w:color="auto" w:fill="auto"/>
          </w:tcPr>
          <w:p w:rsidR="00EA1C22" w:rsidRDefault="00470BD3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Zaopatrzenie w energię elektryczną i wodę, zgodnie z zapewnieniami dostawcy prądu i wody.</w:t>
            </w:r>
          </w:p>
          <w:p w:rsidR="00470BD3" w:rsidRDefault="00470BD3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Odprowadzanie ścieków socjalno-bytowych, zgodnie z zapewnieniem odbioru ścieków.</w:t>
            </w:r>
          </w:p>
          <w:p w:rsidR="00470BD3" w:rsidRPr="00EA1C22" w:rsidRDefault="00470BD3" w:rsidP="00470BD3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Odprowadzanie wód opadowych, zgodnie z warunkami technicznymi podłączenia do kanalizacji deszczowej.</w:t>
            </w:r>
          </w:p>
        </w:tc>
      </w:tr>
      <w:tr w:rsidR="00EA1C22" w:rsidRPr="00EA1C22" w:rsidTr="00A774B3">
        <w:trPr>
          <w:trHeight w:val="73"/>
        </w:trPr>
        <w:tc>
          <w:tcPr>
            <w:tcW w:w="2810" w:type="dxa"/>
            <w:vMerge w:val="restart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Informacje dotyczące przewidzianych inwestycji w promieniu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A1C2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 km</w:t>
              </w:r>
            </w:smartTag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przedmiotowej nieruchomości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6"/>
              <w:t>5)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, zawarte w:</w:t>
            </w:r>
          </w:p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miejscowych planach zagospodarowania przestrzennego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  <w:r w:rsidR="009576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EA1C22" w:rsidRPr="00EA1C22" w:rsidTr="00A774B3">
        <w:trPr>
          <w:trHeight w:val="7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studium uwarunkowań i kierunków zagospodarowania przestrzennego gminy 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7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decyzjach o warunkach zabudowy i zagospodarowania terenu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7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decyzjach o środowiskowych uwarunkowaniach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7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decyzjach o obszarach ograniczonego użytkowania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7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miejscowych planach odbudowy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7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mapach zagrożenia powodziowego i mapach ryzyka powodziowego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7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38" w:type="dxa"/>
            <w:gridSpan w:val="2"/>
            <w:shd w:val="clear" w:color="auto" w:fill="auto"/>
          </w:tcPr>
          <w:p w:rsidR="00EA1C22" w:rsidRPr="00EA1C22" w:rsidRDefault="00EA1C22" w:rsidP="0012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Ustalenia decyzji w zakresie rozmieszczenia inwestycji celu publicznego, mogące mieć znaczenie dla terenu objętego przedsięwzięciem deweloperskim lub zadaniem inwestycyjnym:</w:t>
            </w:r>
          </w:p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22" w:rsidRPr="00EA1C22" w:rsidTr="00A774B3">
        <w:trPr>
          <w:trHeight w:val="84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drogowej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linii kolejowej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w zakresie lotniska użytku publicznego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pozwoleniu na realizację inwestycji w zakresie budowli przeciwpowodziowych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inwestycji w zakresie budowy obiektu energetyki jądrowej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strategicznej inwestycji w zakresie sieci przesyłowej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regionalnej sieci szerokopasmowej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decyzja o ustaleniu lokalizacji inwestycji w zakresie Centralnego Portu Komunikacyjnego 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</w:t>
            </w:r>
            <w:r w:rsidR="00920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o zezwoleniu na realizację</w:t>
            </w:r>
            <w:r w:rsidR="00920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inwestycji w zakresie infrastruktury dostępowej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81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 o ustaleniu lokalizacji strategicznej inwestycji w sektorze naftowym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A1C22" w:rsidRPr="00EA1C22" w:rsidTr="00A774B3">
        <w:trPr>
          <w:trHeight w:val="390"/>
        </w:trPr>
        <w:tc>
          <w:tcPr>
            <w:tcW w:w="9648" w:type="dxa"/>
            <w:gridSpan w:val="3"/>
            <w:shd w:val="clear" w:color="auto" w:fill="D9D9D9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INFORMACJE DOTYCZĄCE BUDYNKU</w:t>
            </w:r>
          </w:p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22" w:rsidRPr="00EA1C22" w:rsidTr="00A774B3">
        <w:trPr>
          <w:trHeight w:val="390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Czy jest pozwolenie na budowę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7"/>
              <w:t>*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A1C22" w:rsidRPr="00EB6A6D" w:rsidRDefault="00EA1C22" w:rsidP="00EA1C22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EB6A6D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nie*</w:t>
            </w:r>
          </w:p>
        </w:tc>
      </w:tr>
      <w:tr w:rsidR="00EA1C22" w:rsidRPr="00EA1C22" w:rsidTr="00A774B3">
        <w:trPr>
          <w:trHeight w:val="390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Czy pozwolenie na budowę jest ostateczne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tak*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A1C22" w:rsidRPr="00EB6A6D" w:rsidRDefault="00EA1C22" w:rsidP="00EA1C22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EB6A6D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nie*</w:t>
            </w:r>
          </w:p>
        </w:tc>
      </w:tr>
      <w:tr w:rsidR="00EA1C22" w:rsidRPr="00EA1C22" w:rsidTr="00A774B3">
        <w:trPr>
          <w:trHeight w:val="390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Czy pozwolenie na budowę jest zaskarżone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A6D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tak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A1C22" w:rsidRPr="00EB6A6D" w:rsidRDefault="00EA1C22" w:rsidP="00EA1C22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A6D">
              <w:rPr>
                <w:rFonts w:ascii="Times New Roman" w:eastAsia="Times New Roman" w:hAnsi="Times New Roman" w:cs="Times New Roman"/>
                <w:sz w:val="20"/>
                <w:szCs w:val="20"/>
              </w:rPr>
              <w:t>nie*</w:t>
            </w:r>
          </w:p>
        </w:tc>
      </w:tr>
      <w:tr w:rsidR="00EA1C22" w:rsidRPr="00EA1C22" w:rsidTr="00A774B3">
        <w:trPr>
          <w:trHeight w:val="195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Numer pozwolenia na budowę oraz nazwa organu, który je wydał</w:t>
            </w:r>
          </w:p>
        </w:tc>
        <w:tc>
          <w:tcPr>
            <w:tcW w:w="6838" w:type="dxa"/>
            <w:gridSpan w:val="2"/>
            <w:shd w:val="clear" w:color="auto" w:fill="auto"/>
          </w:tcPr>
          <w:p w:rsidR="00EA1C22" w:rsidRPr="00EA1C22" w:rsidRDefault="00EB6A6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nr 378/22 i Decyzja nr 716/22 – Starosta Bielski</w:t>
            </w:r>
            <w:r w:rsidR="005F6D1D">
              <w:rPr>
                <w:rFonts w:ascii="Times New Roman" w:eastAsia="Times New Roman" w:hAnsi="Times New Roman" w:cs="Times New Roman"/>
                <w:sz w:val="20"/>
                <w:szCs w:val="20"/>
              </w:rPr>
              <w:t>, Bielsko-Biała</w:t>
            </w:r>
          </w:p>
        </w:tc>
      </w:tr>
      <w:tr w:rsidR="00EA1C22" w:rsidRPr="00EA1C22" w:rsidTr="00A774B3">
        <w:trPr>
          <w:trHeight w:val="195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Data uprawomocnienia się decyzji o pozwoleniu na użytkowanie budynku</w:t>
            </w:r>
          </w:p>
        </w:tc>
        <w:tc>
          <w:tcPr>
            <w:tcW w:w="6838" w:type="dxa"/>
            <w:gridSpan w:val="2"/>
            <w:shd w:val="clear" w:color="auto" w:fill="auto"/>
          </w:tcPr>
          <w:p w:rsidR="00EA1C22" w:rsidRPr="00EA1C22" w:rsidRDefault="005B09BA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EA1C22" w:rsidRPr="00EA1C22" w:rsidTr="00A774B3">
        <w:trPr>
          <w:trHeight w:val="195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zakończenia budowy domu jednorodzinnego </w:t>
            </w:r>
          </w:p>
        </w:tc>
        <w:tc>
          <w:tcPr>
            <w:tcW w:w="6838" w:type="dxa"/>
            <w:gridSpan w:val="2"/>
            <w:shd w:val="clear" w:color="auto" w:fill="auto"/>
          </w:tcPr>
          <w:p w:rsidR="00EA1C22" w:rsidRPr="00EA1C22" w:rsidRDefault="005B09BA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EA1C22" w:rsidRPr="00EA1C22" w:rsidTr="00A774B3">
        <w:trPr>
          <w:trHeight w:val="195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Planowany termin rozpoczęcia i zakończenia robót budowlanych</w:t>
            </w:r>
          </w:p>
        </w:tc>
        <w:tc>
          <w:tcPr>
            <w:tcW w:w="6838" w:type="dxa"/>
            <w:gridSpan w:val="2"/>
            <w:shd w:val="clear" w:color="auto" w:fill="auto"/>
          </w:tcPr>
          <w:p w:rsidR="005B09BA" w:rsidRPr="005B09BA" w:rsidRDefault="005B09BA" w:rsidP="005B09BA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9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Termin rozpoczęcia prac budowlanych: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11.07.2022</w:t>
            </w:r>
          </w:p>
          <w:p w:rsidR="00EA1C22" w:rsidRPr="00EA1C22" w:rsidRDefault="005B09BA" w:rsidP="00C064EB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9BA">
              <w:rPr>
                <w:rFonts w:ascii="Times New Roman" w:eastAsia="Times New Roman" w:hAnsi="Times New Roman" w:cs="Times New Roman"/>
                <w:sz w:val="20"/>
                <w:szCs w:val="20"/>
              </w:rPr>
              <w:t>Planowany termin zakończenia prac budowlanych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30.0</w:t>
            </w:r>
            <w:r w:rsidR="00C064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.2027</w:t>
            </w:r>
          </w:p>
        </w:tc>
      </w:tr>
      <w:tr w:rsidR="00EA1C22" w:rsidRPr="00EA1C22" w:rsidTr="00A774B3">
        <w:trPr>
          <w:trHeight w:val="325"/>
        </w:trPr>
        <w:tc>
          <w:tcPr>
            <w:tcW w:w="2810" w:type="dxa"/>
            <w:vMerge w:val="restart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1C22" w:rsidRPr="00EA1C22" w:rsidRDefault="00EA1C22" w:rsidP="0012739C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Opis przedsięwzięcia deweloperskiego albo zadania inwestycyjnego</w:t>
            </w:r>
          </w:p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Liczba budynków 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B09BA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1C22" w:rsidRPr="00EA1C22" w:rsidTr="00A774B3">
        <w:trPr>
          <w:trHeight w:val="325"/>
        </w:trPr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Rozmieszczenie budynków na nieruchomości (należy podać minimalny odstęp między budynkami)</w:t>
            </w:r>
          </w:p>
        </w:tc>
        <w:tc>
          <w:tcPr>
            <w:tcW w:w="3419" w:type="dxa"/>
            <w:shd w:val="clear" w:color="auto" w:fill="auto"/>
          </w:tcPr>
          <w:p w:rsidR="00EA1C22" w:rsidRPr="00EA1C22" w:rsidRDefault="005B09BA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EA1C22" w:rsidRPr="00EA1C22" w:rsidTr="00A774B3">
        <w:trPr>
          <w:trHeight w:val="488"/>
        </w:trPr>
        <w:tc>
          <w:tcPr>
            <w:tcW w:w="2810" w:type="dxa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Sposób pomiaru powierzchni użytkowej</w:t>
            </w:r>
            <w:r w:rsidR="00920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lokalu mieszkalnego albo domu jednorodzinnego</w:t>
            </w:r>
          </w:p>
        </w:tc>
        <w:tc>
          <w:tcPr>
            <w:tcW w:w="6838" w:type="dxa"/>
            <w:gridSpan w:val="2"/>
            <w:shd w:val="clear" w:color="auto" w:fill="auto"/>
          </w:tcPr>
          <w:p w:rsidR="00EA1C22" w:rsidRDefault="007127A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Według</w:t>
            </w:r>
            <w:r w:rsidR="005B09BA" w:rsidRPr="005B09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normy PN-ISO 9836:2022-07</w:t>
            </w:r>
          </w:p>
          <w:p w:rsidR="007127A4" w:rsidRPr="00EA1C22" w:rsidRDefault="007127A4" w:rsidP="007127A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22" w:rsidRPr="00EA1C22" w:rsidTr="00A774B3">
        <w:tc>
          <w:tcPr>
            <w:tcW w:w="2810" w:type="dxa"/>
            <w:vMerge w:val="restart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Zamierzony sposób i procentowy udział źródeł finansowania przedsięwzięcia deweloperskiego lub zadania inwestycyjnego</w:t>
            </w:r>
          </w:p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EA1C22" w:rsidRPr="00EA1C22" w:rsidDel="00E703EC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Rodzaj posiadanych środków finansowych – kredyt, środki własne, inne</w:t>
            </w:r>
          </w:p>
        </w:tc>
        <w:tc>
          <w:tcPr>
            <w:tcW w:w="3419" w:type="dxa"/>
          </w:tcPr>
          <w:p w:rsidR="00EA1C22" w:rsidRDefault="007127A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Środki własne (40%)</w:t>
            </w:r>
          </w:p>
          <w:p w:rsidR="007127A4" w:rsidRPr="00EA1C22" w:rsidRDefault="007127A4" w:rsidP="007127A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Wpłaty nabywców (60%)</w:t>
            </w:r>
          </w:p>
        </w:tc>
      </w:tr>
      <w:tr w:rsidR="00EA1C22" w:rsidRPr="00EA1C22" w:rsidTr="00A774B3"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W następujących instytucjach finansowych (wypełnia się w przypadku kredytu)</w:t>
            </w:r>
          </w:p>
        </w:tc>
        <w:tc>
          <w:tcPr>
            <w:tcW w:w="3419" w:type="dxa"/>
          </w:tcPr>
          <w:p w:rsidR="00EA1C22" w:rsidRPr="00EA1C22" w:rsidRDefault="00234B9E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EA1C22" w:rsidRPr="00EA1C22" w:rsidTr="007E3E4D">
        <w:trPr>
          <w:trHeight w:val="1481"/>
        </w:trPr>
        <w:tc>
          <w:tcPr>
            <w:tcW w:w="2810" w:type="dxa"/>
            <w:vMerge w:val="restart"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Środki ochrony nabywców</w:t>
            </w:r>
          </w:p>
        </w:tc>
        <w:tc>
          <w:tcPr>
            <w:tcW w:w="3419" w:type="dxa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Otwarty mieszkaniowy rachunek powierniczy*</w:t>
            </w:r>
          </w:p>
        </w:tc>
        <w:tc>
          <w:tcPr>
            <w:tcW w:w="3419" w:type="dxa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B9E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Zamknięty mieszkaniowy rachunek powierniczy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A1C22" w:rsidRPr="00EA1C22" w:rsidTr="00A774B3">
        <w:tc>
          <w:tcPr>
            <w:tcW w:w="2810" w:type="dxa"/>
            <w:vMerge/>
            <w:shd w:val="clear" w:color="auto" w:fill="F3F3F3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Wysokość stawki procentowej, według której jest obliczana kwota składki na Deweloperski Fundusz Gwarancyjny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8"/>
              <w:t>6)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</w:tcPr>
          <w:p w:rsidR="00EA1C22" w:rsidRPr="00EA1C22" w:rsidRDefault="00234B9E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0,45%</w:t>
            </w:r>
          </w:p>
        </w:tc>
      </w:tr>
      <w:tr w:rsidR="00EA1C22" w:rsidRPr="00EA1C22" w:rsidTr="00A774B3">
        <w:tc>
          <w:tcPr>
            <w:tcW w:w="2810" w:type="dxa"/>
            <w:shd w:val="clear" w:color="auto" w:fill="F3F3F3"/>
          </w:tcPr>
          <w:p w:rsidR="00EA1C22" w:rsidRPr="00EA1C22" w:rsidRDefault="00EA1C22" w:rsidP="0012739C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Główne zasady funkcjonowania wybranego rodzaju zabezpieczenia środków nabywcy</w:t>
            </w:r>
          </w:p>
        </w:tc>
        <w:tc>
          <w:tcPr>
            <w:tcW w:w="6838" w:type="dxa"/>
            <w:gridSpan w:val="2"/>
          </w:tcPr>
          <w:p w:rsidR="005F6D1D" w:rsidRPr="00EA1C22" w:rsidRDefault="005F6D1D" w:rsidP="001C4C77">
            <w:pPr>
              <w:spacing w:before="142" w:after="14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Otwarty mieszkaniowy rachunek powierniczy służy </w:t>
            </w:r>
            <w:r w:rsidR="00334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wyłącznie </w:t>
            </w:r>
            <w:r w:rsidRPr="00022DDC">
              <w:rPr>
                <w:rFonts w:ascii="Times New Roman" w:eastAsia="Times New Roman" w:hAnsi="Times New Roman" w:cs="Times New Roman"/>
                <w:sz w:val="20"/>
                <w:szCs w:val="20"/>
              </w:rPr>
              <w:t>przyjmowaniu i przechowywaniu środków pieniężnych wpłacanych przez Nabywcę na cele określone w umowie deweloperskiej. Bank ewidencjonuje wpłaty i wypłaty dokonane na, i z OMRP odrębnie dla każdego Nabywcy, na przypisanym odrębnie dla każdego Nabywcy rachunku, posiadającym indywidualny numer nadany dla takiego Nabywcy.</w:t>
            </w:r>
            <w:r w:rsidR="00334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347BA" w:rsidRPr="00022DDC">
              <w:rPr>
                <w:rFonts w:ascii="Times New Roman" w:eastAsia="Times New Roman" w:hAnsi="Times New Roman" w:cs="Times New Roman"/>
                <w:sz w:val="20"/>
                <w:szCs w:val="20"/>
              </w:rPr>
              <w:t>Wypłata środków z rachunku powierniczego następuje w transzach zgodnie z harmonogramem</w:t>
            </w:r>
            <w:r w:rsidR="00334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realizacji budowy</w:t>
            </w:r>
            <w:r w:rsidR="003347BA" w:rsidRPr="00022DDC">
              <w:rPr>
                <w:rFonts w:ascii="Times New Roman" w:eastAsia="Times New Roman" w:hAnsi="Times New Roman" w:cs="Times New Roman"/>
                <w:sz w:val="20"/>
                <w:szCs w:val="20"/>
              </w:rPr>
              <w:t>. Każdorazowa wypłata środków wymaga stwierdzenia przez bank zakończenia realizacji danego etapu prac.</w:t>
            </w:r>
            <w:r w:rsidR="001C4C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2DDC">
              <w:rPr>
                <w:rFonts w:ascii="Times New Roman" w:eastAsia="Times New Roman" w:hAnsi="Times New Roman" w:cs="Times New Roman"/>
                <w:sz w:val="20"/>
                <w:szCs w:val="20"/>
              </w:rPr>
              <w:t>Bank dokonuje kontroli zakończenia każdego z etapów zadania inwestycyjnego określonego w Harmonogramie przedsięwzięcia</w:t>
            </w:r>
            <w:r w:rsidRPr="00334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deweloperskiego przez wyznaczonego przez Bank specjalistę z </w:t>
            </w:r>
            <w:r w:rsidR="003347BA" w:rsidRPr="00334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odpowiednimi uprawnieniami. Kwota środków pieniężnych wypłacana Deweloperowi na podstawie dyspozycji, będzie stanowić w odniesieniu do każdego z Nabywców </w:t>
            </w:r>
            <w:r w:rsidR="001C4C77">
              <w:rPr>
                <w:rFonts w:ascii="Times New Roman" w:eastAsia="Times New Roman" w:hAnsi="Times New Roman" w:cs="Times New Roman"/>
                <w:sz w:val="20"/>
                <w:szCs w:val="20"/>
              </w:rPr>
              <w:t>procent</w:t>
            </w:r>
            <w:r w:rsidR="003347BA" w:rsidRPr="00334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ceny nabycia przez Nabywcę prawa określonego w Umowie deweloperskiej, odpowiadającego procentowi kosztów realizacji danego etapu Przedsięwzięcia deweloperskiego (zgodnie z harmonogramem Przedsięwzięcia deweloperskiego).</w:t>
            </w:r>
          </w:p>
        </w:tc>
      </w:tr>
      <w:tr w:rsidR="005F6D1D" w:rsidRPr="00EA1C22" w:rsidTr="00294CB6">
        <w:trPr>
          <w:trHeight w:val="293"/>
        </w:trPr>
        <w:tc>
          <w:tcPr>
            <w:tcW w:w="2810" w:type="dxa"/>
            <w:shd w:val="clear" w:color="auto" w:fill="F3F3F3"/>
          </w:tcPr>
          <w:p w:rsidR="005F6D1D" w:rsidRPr="00EA1C22" w:rsidRDefault="005F6D1D" w:rsidP="005F6D1D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Nazwa instytucji zapewniającej bezpieczeństwo środków nabywcy</w:t>
            </w:r>
          </w:p>
        </w:tc>
        <w:tc>
          <w:tcPr>
            <w:tcW w:w="6838" w:type="dxa"/>
            <w:gridSpan w:val="2"/>
            <w:shd w:val="clear" w:color="auto" w:fill="auto"/>
            <w:vAlign w:val="center"/>
          </w:tcPr>
          <w:p w:rsidR="005F6D1D" w:rsidRPr="00F561BC" w:rsidRDefault="005F6D1D" w:rsidP="005F6D1D">
            <w:pPr>
              <w:spacing w:before="142" w:after="142" w:line="240" w:lineRule="auto"/>
              <w:jc w:val="both"/>
              <w:rPr>
                <w:szCs w:val="24"/>
              </w:rPr>
            </w:pPr>
            <w:bookmarkStart w:id="0" w:name="_GoBack"/>
            <w:bookmarkEnd w:id="0"/>
          </w:p>
        </w:tc>
      </w:tr>
      <w:tr w:rsidR="005F6D1D" w:rsidRPr="00EA1C22" w:rsidTr="00A774B3">
        <w:trPr>
          <w:trHeight w:val="488"/>
        </w:trPr>
        <w:tc>
          <w:tcPr>
            <w:tcW w:w="2810" w:type="dxa"/>
            <w:shd w:val="clear" w:color="auto" w:fill="F3F3F3"/>
          </w:tcPr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Harmonogram przedsięwzięcia deweloperskiego lub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zadania inwestycyjnego</w:t>
            </w:r>
          </w:p>
        </w:tc>
        <w:tc>
          <w:tcPr>
            <w:tcW w:w="6838" w:type="dxa"/>
            <w:gridSpan w:val="2"/>
            <w:shd w:val="clear" w:color="auto" w:fill="auto"/>
          </w:tcPr>
          <w:p w:rsidR="00162487" w:rsidRPr="00162487" w:rsidRDefault="00162487" w:rsidP="00162487">
            <w:pPr>
              <w:pStyle w:val="Akapitzlist"/>
              <w:numPr>
                <w:ilvl w:val="0"/>
                <w:numId w:val="13"/>
              </w:numPr>
              <w:spacing w:before="100" w:beforeAutospacing="1" w:line="240" w:lineRule="auto"/>
              <w:rPr>
                <w:rFonts w:cs="Times New Roman"/>
                <w:szCs w:val="24"/>
              </w:rPr>
            </w:pPr>
            <w:r w:rsidRPr="00162487">
              <w:rPr>
                <w:rFonts w:cs="Times New Roman"/>
                <w:color w:val="000000"/>
                <w:sz w:val="20"/>
              </w:rPr>
              <w:t>Zakup gruntu, przygotowanie dokumentacji, uzyskanie pozwolenia na budowę wytyczenie budynku oraz przygotowanie terenu inwestycji – rozpoczęcie budowy – 20% (narastająco 20%) - zrealizowane</w:t>
            </w:r>
          </w:p>
          <w:p w:rsidR="00162487" w:rsidRPr="00162487" w:rsidRDefault="00162487" w:rsidP="00162487">
            <w:pPr>
              <w:pStyle w:val="Akapitzlist"/>
              <w:numPr>
                <w:ilvl w:val="0"/>
                <w:numId w:val="13"/>
              </w:numPr>
              <w:spacing w:before="100" w:beforeAutospacing="1" w:line="240" w:lineRule="auto"/>
              <w:rPr>
                <w:rFonts w:cs="Times New Roman"/>
                <w:color w:val="000000"/>
                <w:sz w:val="20"/>
              </w:rPr>
            </w:pPr>
            <w:r w:rsidRPr="00162487">
              <w:rPr>
                <w:rFonts w:cs="Times New Roman"/>
                <w:color w:val="000000"/>
                <w:sz w:val="20"/>
              </w:rPr>
              <w:t>Roboty ziemne, fundam</w:t>
            </w:r>
            <w:r>
              <w:rPr>
                <w:rFonts w:cs="Times New Roman"/>
                <w:color w:val="000000"/>
                <w:sz w:val="20"/>
              </w:rPr>
              <w:t>e</w:t>
            </w:r>
            <w:r w:rsidRPr="00162487">
              <w:rPr>
                <w:rFonts w:cs="Times New Roman"/>
                <w:color w:val="000000"/>
                <w:sz w:val="20"/>
              </w:rPr>
              <w:t>nty, stan zero, oraz przyłącza prąd, gaz, kanalizacja – 25% (narastająco 45%) - 31.03.2026.</w:t>
            </w:r>
          </w:p>
          <w:p w:rsidR="00162487" w:rsidRPr="00162487" w:rsidRDefault="00162487" w:rsidP="00162487">
            <w:pPr>
              <w:pStyle w:val="Akapitzlist"/>
              <w:numPr>
                <w:ilvl w:val="0"/>
                <w:numId w:val="13"/>
              </w:numPr>
              <w:spacing w:before="100" w:beforeAutospacing="1" w:line="240" w:lineRule="auto"/>
              <w:rPr>
                <w:rFonts w:cs="Times New Roman"/>
                <w:color w:val="000000"/>
                <w:sz w:val="20"/>
              </w:rPr>
            </w:pPr>
            <w:r w:rsidRPr="00162487">
              <w:rPr>
                <w:rFonts w:cs="Times New Roman"/>
                <w:color w:val="000000"/>
                <w:sz w:val="20"/>
              </w:rPr>
              <w:t>Ściany parter, 1. piętro (10%), bez ścian działowych (narastająco – 55%) - 30.06.2026</w:t>
            </w:r>
          </w:p>
          <w:p w:rsidR="00162487" w:rsidRPr="00162487" w:rsidRDefault="00162487" w:rsidP="00162487">
            <w:pPr>
              <w:pStyle w:val="Akapitzlist"/>
              <w:numPr>
                <w:ilvl w:val="0"/>
                <w:numId w:val="13"/>
              </w:numPr>
              <w:spacing w:before="100" w:beforeAutospacing="1" w:line="240" w:lineRule="auto"/>
              <w:rPr>
                <w:rFonts w:cs="Times New Roman"/>
                <w:color w:val="000000"/>
                <w:sz w:val="20"/>
              </w:rPr>
            </w:pPr>
            <w:r w:rsidRPr="00162487">
              <w:rPr>
                <w:rFonts w:cs="Times New Roman"/>
                <w:color w:val="000000"/>
                <w:sz w:val="20"/>
              </w:rPr>
              <w:t>Ściany 2. i 3. piętro, dach (10%), bez ścian działowych (narastająco – 65%) - 30.09.2026</w:t>
            </w:r>
          </w:p>
          <w:p w:rsidR="00162487" w:rsidRPr="00162487" w:rsidRDefault="00162487" w:rsidP="00162487">
            <w:pPr>
              <w:pStyle w:val="Akapitzlist"/>
              <w:numPr>
                <w:ilvl w:val="0"/>
                <w:numId w:val="13"/>
              </w:numPr>
              <w:spacing w:before="100" w:beforeAutospacing="1" w:line="240" w:lineRule="auto"/>
              <w:rPr>
                <w:rFonts w:cs="Times New Roman"/>
                <w:color w:val="000000"/>
                <w:sz w:val="20"/>
              </w:rPr>
            </w:pPr>
            <w:r w:rsidRPr="00162487">
              <w:rPr>
                <w:rFonts w:cs="Times New Roman"/>
                <w:color w:val="000000"/>
                <w:sz w:val="20"/>
              </w:rPr>
              <w:t>Stolarka okienna, ściany działowe, instalacje elektryczne zanikowe, wodno-kanalizacyjne, co zanikowe, tynki-50%, wylewki-50% – 15% (narastająco 80%) - 31.12.2026</w:t>
            </w:r>
          </w:p>
          <w:p w:rsidR="00162487" w:rsidRPr="00162487" w:rsidRDefault="00162487" w:rsidP="00162487">
            <w:pPr>
              <w:pStyle w:val="Akapitzlist"/>
              <w:numPr>
                <w:ilvl w:val="0"/>
                <w:numId w:val="13"/>
              </w:numPr>
              <w:spacing w:before="100" w:beforeAutospacing="1" w:line="240" w:lineRule="auto"/>
              <w:rPr>
                <w:rFonts w:cs="Times New Roman"/>
                <w:color w:val="000000"/>
                <w:sz w:val="20"/>
              </w:rPr>
            </w:pPr>
            <w:r w:rsidRPr="00162487">
              <w:rPr>
                <w:rFonts w:cs="Times New Roman"/>
                <w:color w:val="000000"/>
                <w:sz w:val="20"/>
              </w:rPr>
              <w:t>Elewacja, zakończenie wszystkich instalacji, stolarka drzwiowa, tynki-</w:t>
            </w:r>
            <w:r w:rsidRPr="00162487">
              <w:rPr>
                <w:rFonts w:cs="Times New Roman"/>
                <w:color w:val="000000"/>
                <w:sz w:val="20"/>
              </w:rPr>
              <w:lastRenderedPageBreak/>
              <w:t>50%, wylewki-50%, wykończenie klatek schodowych – 10% (narastająco 90%) - 31.03.2026</w:t>
            </w:r>
          </w:p>
          <w:p w:rsidR="005F6D1D" w:rsidRPr="00162487" w:rsidRDefault="00162487" w:rsidP="00162487">
            <w:pPr>
              <w:pStyle w:val="Akapitzlist"/>
              <w:numPr>
                <w:ilvl w:val="0"/>
                <w:numId w:val="13"/>
              </w:numPr>
              <w:spacing w:before="100" w:beforeAutospacing="1" w:line="240" w:lineRule="auto"/>
              <w:rPr>
                <w:rFonts w:cs="Times New Roman"/>
                <w:color w:val="000000"/>
                <w:sz w:val="20"/>
              </w:rPr>
            </w:pPr>
            <w:r w:rsidRPr="00162487">
              <w:rPr>
                <w:rFonts w:cs="Times New Roman"/>
                <w:color w:val="000000"/>
                <w:sz w:val="20"/>
              </w:rPr>
              <w:t>Zakończenie robót, parkingi, tereny zielone, przyłącze wody, uzyskanie pozwolenia na użytkowanie – 10% (narastająco 100%) - 30.06.2026</w:t>
            </w:r>
          </w:p>
        </w:tc>
      </w:tr>
      <w:tr w:rsidR="005F6D1D" w:rsidRPr="00EA1C22" w:rsidTr="00A774B3">
        <w:trPr>
          <w:trHeight w:val="292"/>
        </w:trPr>
        <w:tc>
          <w:tcPr>
            <w:tcW w:w="2810" w:type="dxa"/>
            <w:shd w:val="clear" w:color="auto" w:fill="F3F3F3"/>
          </w:tcPr>
          <w:p w:rsidR="005F6D1D" w:rsidRPr="00EA1C22" w:rsidRDefault="005F6D1D" w:rsidP="005F6D1D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Dopuszczenie waloryzacji ceny oraz określenie zasad waloryzacji</w:t>
            </w:r>
          </w:p>
        </w:tc>
        <w:tc>
          <w:tcPr>
            <w:tcW w:w="6838" w:type="dxa"/>
            <w:gridSpan w:val="2"/>
            <w:shd w:val="clear" w:color="auto" w:fill="auto"/>
          </w:tcPr>
          <w:p w:rsidR="00280051" w:rsidRDefault="00280051" w:rsidP="00F8232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nie będzie podlegać waloryzacji.</w:t>
            </w:r>
          </w:p>
          <w:p w:rsidR="00280051" w:rsidRDefault="00280051" w:rsidP="00F8232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Zmiana ceny może nastąpić:</w:t>
            </w:r>
          </w:p>
          <w:p w:rsidR="008418C9" w:rsidRDefault="008418C9" w:rsidP="00F8232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  <w:p w:rsidR="00280051" w:rsidRDefault="008418C9" w:rsidP="00F8232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00280051">
              <w:rPr>
                <w:rFonts w:ascii="Times New Roman" w:eastAsia="Times New Roman" w:hAnsi="Times New Roman" w:cs="Times New Roman"/>
                <w:sz w:val="20"/>
                <w:szCs w:val="20"/>
              </w:rPr>
              <w:t>eżeli</w:t>
            </w:r>
            <w:r w:rsidR="00D37E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 dokonaniu geodezyjnej inwen</w:t>
            </w:r>
            <w:r w:rsidR="00280051">
              <w:rPr>
                <w:rFonts w:ascii="Times New Roman" w:eastAsia="Times New Roman" w:hAnsi="Times New Roman" w:cs="Times New Roman"/>
                <w:sz w:val="20"/>
                <w:szCs w:val="20"/>
              </w:rPr>
              <w:t>taryzacji powykonawczej powierzchnia u</w:t>
            </w:r>
            <w:r w:rsidR="00D37E93"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 w:rsidR="00280051">
              <w:rPr>
                <w:rFonts w:ascii="Times New Roman" w:eastAsia="Times New Roman" w:hAnsi="Times New Roman" w:cs="Times New Roman"/>
                <w:sz w:val="20"/>
                <w:szCs w:val="20"/>
              </w:rPr>
              <w:t>ytkowa lokalu będzie</w:t>
            </w:r>
            <w:r w:rsidR="00D37E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 różnić</w:t>
            </w:r>
            <w:r w:rsidR="00280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</w:t>
            </w:r>
            <w:r w:rsidR="00D37E93"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 w:rsidR="00280051">
              <w:rPr>
                <w:rFonts w:ascii="Times New Roman" w:eastAsia="Times New Roman" w:hAnsi="Times New Roman" w:cs="Times New Roman"/>
                <w:sz w:val="20"/>
                <w:szCs w:val="20"/>
              </w:rPr>
              <w:t>projektowanej powierzchni uż</w:t>
            </w:r>
            <w:r w:rsidR="00D37E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ytkowej, która została zawarta </w:t>
            </w:r>
            <w:r w:rsidR="00280051">
              <w:rPr>
                <w:rFonts w:ascii="Times New Roman" w:eastAsia="Times New Roman" w:hAnsi="Times New Roman" w:cs="Times New Roman"/>
                <w:sz w:val="20"/>
                <w:szCs w:val="20"/>
              </w:rPr>
              <w:t>w umowie deweloperskiej</w:t>
            </w:r>
            <w:r w:rsidR="00D37E93">
              <w:rPr>
                <w:rFonts w:ascii="Times New Roman" w:eastAsia="Times New Roman" w:hAnsi="Times New Roman" w:cs="Times New Roman"/>
                <w:sz w:val="20"/>
                <w:szCs w:val="20"/>
              </w:rPr>
              <w:t>. W przypadku zwiększenia powierzchni lokalu deweloper będzie uprawniony do proporcjonalnego podwyższenia ceny według wartości 1m2 powierzchni użytkowej wskazanej w prospekcie informacyjnym oraz wynikłej różnicy powierzchni. W przypadku skorzystania przez dewelopera z uprawnienia do podwyższenia ceny, jak również w razie zwiększenia powierzchni użytkowej lokalu o więcej niż 2% w stosunku do projektowanej powierzchni wskazanej w umowie, nabywca będzie uprawniony do odstąpienia od umowy deweloperskiej na zasadach określonych w tej umowie.</w:t>
            </w:r>
          </w:p>
          <w:p w:rsidR="00AE40C2" w:rsidRDefault="00AE40C2" w:rsidP="00F8232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razie zmniejszenia powierzchni lokalu, cena zostanie proporcjonalnie pomniejszona z uwzględnieniem wartości 1m2 powierzchni użytkowej lokalu, która została wskazan</w:t>
            </w:r>
            <w:r w:rsidR="00FA6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w prospekcie informacyjnym, oraz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różnicy powierzchni. W przypadku zmniejszenia powierzchni użytkowej lokalu o więcej niż 2% w stosunku do projektowanej powierzchni wskazanej w umowie, nabywca będzie uprawniony do odstąpienia od umowy deweloperskiej na zasadach określonych w tej umowie.</w:t>
            </w:r>
          </w:p>
          <w:p w:rsidR="00F82325" w:rsidRDefault="00F82325" w:rsidP="00F8232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18C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  <w:p w:rsidR="008418C9" w:rsidRDefault="008418C9" w:rsidP="00F8232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zmiany przepisów prawa w zakresie zasad opodatkowania podatkiem VAT lub stawki VAT, które mają wpływ na cenę, przy czym:</w:t>
            </w:r>
          </w:p>
          <w:p w:rsidR="002E414E" w:rsidRPr="00EA1C22" w:rsidRDefault="008418C9" w:rsidP="008418C9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jeśli zmiany skutkują wyższą stawką podatku VAT – deweloper będzie uprawniony do proporcjonalnego podwyższenia ceny. W tym przypadku nabywca będzie uprawniony do odstąpienia od umowy deweloperskiej na zasadach okreś</w:t>
            </w:r>
            <w:r w:rsidR="002E414E">
              <w:rPr>
                <w:rFonts w:ascii="Times New Roman" w:eastAsia="Times New Roman" w:hAnsi="Times New Roman" w:cs="Times New Roman"/>
                <w:sz w:val="20"/>
                <w:szCs w:val="20"/>
              </w:rPr>
              <w:t>lonych w tej umowie.</w:t>
            </w:r>
          </w:p>
        </w:tc>
      </w:tr>
      <w:tr w:rsidR="005F6D1D" w:rsidRPr="00EA1C22" w:rsidTr="00A774B3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WARUNKI ODSTĄPIENIA OD UMOWY DEWELOPERSKIEJ LUB UMOWY, O KTÓREJ MOWA W ART. 2 UST. 1 PKT 2, 3 LUB 5 USTAWY Z DNIA ….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 OCHRONIE PRAW NABYWCY LOKALU MIESZKALNEGO LUB DOMU JEDNORODZINNEGO ORAZ O DEWELOPERSKIM FUNDUSZU GWARANCYJNYM (Dz. U.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…)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6D1D" w:rsidRPr="00EA1C22" w:rsidTr="00A774B3">
        <w:trPr>
          <w:trHeight w:val="1512"/>
        </w:trPr>
        <w:tc>
          <w:tcPr>
            <w:tcW w:w="2810" w:type="dxa"/>
            <w:tcBorders>
              <w:bottom w:val="single" w:sz="4" w:space="0" w:color="auto"/>
            </w:tcBorders>
            <w:shd w:val="clear" w:color="auto" w:fill="F3F3F3"/>
          </w:tcPr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Należy opisać, na jakich warunkach można odstąpić od umowy deweloperskiej lub jednej z umów, o których mowa w art. 2 ust. 1 pkt 2, 3 lub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5 ustawy z dnia … o ochronie praw nabywcy lokalu mieszkalnego lub domu jednorodzinnego oraz o Deweloperskim Funduszu Gwarancyjnym</w:t>
            </w:r>
          </w:p>
        </w:tc>
        <w:tc>
          <w:tcPr>
            <w:tcW w:w="6838" w:type="dxa"/>
            <w:gridSpan w:val="2"/>
          </w:tcPr>
          <w:p w:rsidR="00F15AB7" w:rsidRPr="00294CB6" w:rsidRDefault="00F15AB7" w:rsidP="00294CB6">
            <w:pPr>
              <w:pStyle w:val="Nagwek2"/>
              <w:rPr>
                <w:rFonts w:eastAsiaTheme="minorHAnsi" w:hAnsiTheme="minorHAnsi" w:cstheme="minorBidi"/>
                <w:b w:val="0"/>
                <w:bCs w:val="0"/>
                <w:color w:val="000000"/>
                <w:sz w:val="24"/>
                <w:szCs w:val="22"/>
                <w:lang w:eastAsia="en-US"/>
              </w:rPr>
            </w:pPr>
            <w:r w:rsidRPr="00294CB6">
              <w:rPr>
                <w:rFonts w:eastAsiaTheme="minorHAnsi" w:hAnsiTheme="minorHAnsi" w:cstheme="minorBidi"/>
                <w:b w:val="0"/>
                <w:bCs w:val="0"/>
                <w:color w:val="000000"/>
                <w:sz w:val="24"/>
                <w:szCs w:val="22"/>
                <w:lang w:eastAsia="en-US"/>
              </w:rPr>
              <w:t xml:space="preserve">Zgodnie z art. 43 Ustawy </w:t>
            </w:r>
            <w:r w:rsidR="00294CB6" w:rsidRPr="00294CB6">
              <w:rPr>
                <w:rFonts w:eastAsiaTheme="minorHAnsi" w:hAnsiTheme="minorHAnsi" w:cstheme="minorBidi"/>
                <w:b w:val="0"/>
                <w:bCs w:val="0"/>
                <w:color w:val="000000"/>
                <w:sz w:val="24"/>
                <w:szCs w:val="22"/>
                <w:lang w:eastAsia="en-US"/>
              </w:rPr>
              <w:t>o ochronie praw nabywcy lokalu mieszkalnego lub domu jednorodzinnego oraz Deweloperskim Funduszu Gwarancyjnym</w:t>
            </w:r>
            <w:r w:rsidR="00294CB6">
              <w:rPr>
                <w:rFonts w:eastAsiaTheme="minorHAnsi" w:hAnsiTheme="minorHAnsi" w:cstheme="minorBidi"/>
                <w:b w:val="0"/>
                <w:bCs w:val="0"/>
                <w:color w:val="000000"/>
                <w:sz w:val="24"/>
                <w:szCs w:val="22"/>
                <w:lang w:eastAsia="en-US"/>
              </w:rPr>
              <w:t>,</w:t>
            </w:r>
            <w:r w:rsidRPr="00F15AB7">
              <w:rPr>
                <w:rFonts w:eastAsiaTheme="minorHAnsi" w:hAnsiTheme="minorHAnsi" w:cstheme="minorBidi"/>
                <w:color w:val="000000"/>
                <w:sz w:val="24"/>
                <w:szCs w:val="22"/>
              </w:rPr>
              <w:t xml:space="preserve"> </w:t>
            </w:r>
            <w:r>
              <w:rPr>
                <w:b w:val="0"/>
                <w:color w:val="000000"/>
                <w:sz w:val="24"/>
              </w:rPr>
              <w:t>Nabywca ma prawo odstąpić od umowy deweloperskiej albo umowy, o której mowa w art. 2 ust. 1 pkt 2, 3 lub 5:</w:t>
            </w:r>
          </w:p>
          <w:p w:rsidR="00F15AB7" w:rsidRDefault="00F15AB7" w:rsidP="00F15AB7">
            <w:pPr>
              <w:spacing w:before="26" w:after="0"/>
              <w:ind w:left="373"/>
            </w:pPr>
            <w:r>
              <w:rPr>
                <w:rFonts w:ascii="Times New Roman"/>
                <w:color w:val="000000"/>
                <w:sz w:val="24"/>
              </w:rPr>
              <w:t>1) je</w:t>
            </w:r>
            <w:r>
              <w:rPr>
                <w:rFonts w:ascii="Times New Roman"/>
                <w:color w:val="000000"/>
                <w:sz w:val="24"/>
              </w:rPr>
              <w:t>ż</w:t>
            </w:r>
            <w:r>
              <w:rPr>
                <w:rFonts w:ascii="Times New Roman"/>
                <w:color w:val="000000"/>
                <w:sz w:val="24"/>
              </w:rPr>
              <w:t>eli umowa deweloperska albo umowa,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</w:t>
            </w:r>
            <w:r w:rsid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94CB6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94CB6">
              <w:rPr>
                <w:rFonts w:ascii="Times New Roman"/>
                <w:color w:val="000000"/>
                <w:sz w:val="24"/>
              </w:rPr>
              <w:t xml:space="preserve"> (</w:t>
            </w:r>
            <w:r w:rsidR="00294CB6">
              <w:rPr>
                <w:rFonts w:ascii="Times New Roman"/>
                <w:color w:val="000000"/>
                <w:sz w:val="24"/>
              </w:rPr>
              <w:t>…</w:t>
            </w:r>
            <w:r w:rsidR="00294CB6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, nie zawiera odpowiednio element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w,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rych mowa w art. 35, albo element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w,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rych mowa w art. 36;</w:t>
            </w:r>
          </w:p>
          <w:p w:rsidR="00F15AB7" w:rsidRDefault="00F15AB7" w:rsidP="00F15AB7">
            <w:pPr>
              <w:spacing w:before="26" w:after="0"/>
              <w:ind w:left="373"/>
            </w:pPr>
            <w:r>
              <w:rPr>
                <w:rFonts w:ascii="Times New Roman"/>
                <w:color w:val="000000"/>
                <w:sz w:val="24"/>
              </w:rPr>
              <w:t>2) je</w:t>
            </w:r>
            <w:r>
              <w:rPr>
                <w:rFonts w:ascii="Times New Roman"/>
                <w:color w:val="000000"/>
                <w:sz w:val="24"/>
              </w:rPr>
              <w:t>ż</w:t>
            </w:r>
            <w:r>
              <w:rPr>
                <w:rFonts w:ascii="Times New Roman"/>
                <w:color w:val="000000"/>
                <w:sz w:val="24"/>
              </w:rPr>
              <w:t>eli informacje zawarte w umowie deweloperskiej albo umowie,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5,</w:t>
            </w:r>
            <w:r w:rsidR="00294CB6" w:rsidRPr="00294CB6">
              <w:rPr>
                <w:rFonts w:ascii="Times New Roman"/>
                <w:color w:val="000000"/>
                <w:sz w:val="24"/>
              </w:rPr>
              <w:t xml:space="preserve"> Ustawy o ochronie praw nabywcy lokalu</w:t>
            </w:r>
            <w:r w:rsidR="00294CB6">
              <w:rPr>
                <w:rFonts w:ascii="Times New Roman"/>
                <w:color w:val="000000"/>
                <w:sz w:val="24"/>
              </w:rPr>
              <w:t xml:space="preserve"> (</w:t>
            </w:r>
            <w:r w:rsidR="00294CB6">
              <w:rPr>
                <w:rFonts w:ascii="Times New Roman"/>
                <w:color w:val="000000"/>
                <w:sz w:val="24"/>
              </w:rPr>
              <w:t>…</w:t>
            </w:r>
            <w:r w:rsidR="00294CB6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 xml:space="preserve"> nie s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 xml:space="preserve"> zgodne z informacjami </w:t>
            </w:r>
            <w:r>
              <w:rPr>
                <w:rFonts w:ascii="Times New Roman"/>
                <w:color w:val="000000"/>
                <w:sz w:val="24"/>
              </w:rPr>
              <w:lastRenderedPageBreak/>
              <w:t>zawartymi w prospekcie informacyjnym lub jego za</w:t>
            </w:r>
            <w:r>
              <w:rPr>
                <w:rFonts w:ascii="Times New Roman"/>
                <w:color w:val="000000"/>
                <w:sz w:val="24"/>
              </w:rPr>
              <w:t>łą</w:t>
            </w:r>
            <w:r>
              <w:rPr>
                <w:rFonts w:ascii="Times New Roman"/>
                <w:color w:val="000000"/>
                <w:sz w:val="24"/>
              </w:rPr>
              <w:t>cznikach, z wyj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tkiem zmian,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rych mowa w art. 35 ust. 2;</w:t>
            </w:r>
          </w:p>
          <w:p w:rsidR="00F15AB7" w:rsidRDefault="00F15AB7" w:rsidP="00F15AB7">
            <w:pPr>
              <w:spacing w:before="26" w:after="0"/>
              <w:ind w:left="373"/>
            </w:pPr>
            <w:r>
              <w:rPr>
                <w:rFonts w:ascii="Times New Roman"/>
                <w:color w:val="000000"/>
                <w:sz w:val="24"/>
              </w:rPr>
              <w:t>3) je</w:t>
            </w:r>
            <w:r>
              <w:rPr>
                <w:rFonts w:ascii="Times New Roman"/>
                <w:color w:val="000000"/>
                <w:sz w:val="24"/>
              </w:rPr>
              <w:t>ż</w:t>
            </w:r>
            <w:r>
              <w:rPr>
                <w:rFonts w:ascii="Times New Roman"/>
                <w:color w:val="000000"/>
                <w:sz w:val="24"/>
              </w:rPr>
              <w:t>eli deweloper nie dor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>czy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 xml:space="preserve"> zgodnie z art. 21 lub art. 22 </w:t>
            </w:r>
            <w:r w:rsidR="00294CB6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94CB6">
              <w:rPr>
                <w:rFonts w:ascii="Times New Roman"/>
                <w:color w:val="000000"/>
                <w:sz w:val="24"/>
              </w:rPr>
              <w:t xml:space="preserve"> (</w:t>
            </w:r>
            <w:r w:rsidR="00294CB6">
              <w:rPr>
                <w:rFonts w:ascii="Times New Roman"/>
                <w:color w:val="000000"/>
                <w:sz w:val="24"/>
              </w:rPr>
              <w:t>…</w:t>
            </w:r>
            <w:r w:rsidR="00294CB6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prospektu informacyjnego wraz z za</w:t>
            </w:r>
            <w:r>
              <w:rPr>
                <w:rFonts w:ascii="Times New Roman"/>
                <w:color w:val="000000"/>
                <w:sz w:val="24"/>
              </w:rPr>
              <w:t>łą</w:t>
            </w:r>
            <w:r>
              <w:rPr>
                <w:rFonts w:ascii="Times New Roman"/>
                <w:color w:val="000000"/>
                <w:sz w:val="24"/>
              </w:rPr>
              <w:t>cznikami lub informacji o zmianie danych lub informacji zawartych w prospekcie informacyjnym lub jego za</w:t>
            </w:r>
            <w:r>
              <w:rPr>
                <w:rFonts w:ascii="Times New Roman"/>
                <w:color w:val="000000"/>
                <w:sz w:val="24"/>
              </w:rPr>
              <w:t>łą</w:t>
            </w:r>
            <w:r>
              <w:rPr>
                <w:rFonts w:ascii="Times New Roman"/>
                <w:color w:val="000000"/>
                <w:sz w:val="24"/>
              </w:rPr>
              <w:t>cznikach;</w:t>
            </w:r>
          </w:p>
          <w:p w:rsidR="00F15AB7" w:rsidRDefault="00F15AB7" w:rsidP="00F15AB7">
            <w:pPr>
              <w:spacing w:before="26" w:after="0"/>
              <w:ind w:left="373"/>
            </w:pPr>
            <w:r>
              <w:rPr>
                <w:rFonts w:ascii="Times New Roman"/>
                <w:color w:val="000000"/>
                <w:sz w:val="24"/>
              </w:rPr>
              <w:t>4) je</w:t>
            </w:r>
            <w:r>
              <w:rPr>
                <w:rFonts w:ascii="Times New Roman"/>
                <w:color w:val="000000"/>
                <w:sz w:val="24"/>
              </w:rPr>
              <w:t>ż</w:t>
            </w:r>
            <w:r>
              <w:rPr>
                <w:rFonts w:ascii="Times New Roman"/>
                <w:color w:val="000000"/>
                <w:sz w:val="24"/>
              </w:rPr>
              <w:t>eli dane lub informacje zawarte w prospekcie informacyjnym lub jego za</w:t>
            </w:r>
            <w:r>
              <w:rPr>
                <w:rFonts w:ascii="Times New Roman"/>
                <w:color w:val="000000"/>
                <w:sz w:val="24"/>
              </w:rPr>
              <w:t>łą</w:t>
            </w:r>
            <w:r>
              <w:rPr>
                <w:rFonts w:ascii="Times New Roman"/>
                <w:color w:val="000000"/>
                <w:sz w:val="24"/>
              </w:rPr>
              <w:t>cznikach, na podstawie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rych zawarto umow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 dewelopersk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 xml:space="preserve"> albo umow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>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5,</w:t>
            </w:r>
            <w:r w:rsidR="00294CB6" w:rsidRPr="00294CB6">
              <w:rPr>
                <w:rFonts w:ascii="Times New Roman"/>
                <w:color w:val="000000"/>
                <w:sz w:val="24"/>
              </w:rPr>
              <w:t xml:space="preserve"> Ustawy o ochronie praw nabywcy lokalu</w:t>
            </w:r>
            <w:r w:rsidR="00294CB6">
              <w:rPr>
                <w:rFonts w:ascii="Times New Roman"/>
                <w:color w:val="000000"/>
                <w:sz w:val="24"/>
              </w:rPr>
              <w:t xml:space="preserve"> (</w:t>
            </w:r>
            <w:r w:rsidR="00294CB6">
              <w:rPr>
                <w:rFonts w:ascii="Times New Roman"/>
                <w:color w:val="000000"/>
                <w:sz w:val="24"/>
              </w:rPr>
              <w:t>…</w:t>
            </w:r>
            <w:r w:rsidR="00294CB6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 xml:space="preserve"> s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 xml:space="preserve"> niezgodne ze stanem faktycznym lub prawnym w dniu zawarcia umowy;</w:t>
            </w:r>
          </w:p>
          <w:p w:rsidR="00F15AB7" w:rsidRDefault="00F15AB7" w:rsidP="00F15AB7">
            <w:pPr>
              <w:spacing w:before="26" w:after="0"/>
              <w:ind w:left="373"/>
            </w:pPr>
            <w:r>
              <w:rPr>
                <w:rFonts w:ascii="Times New Roman"/>
                <w:color w:val="000000"/>
                <w:sz w:val="24"/>
              </w:rPr>
              <w:t>5) je</w:t>
            </w:r>
            <w:r>
              <w:rPr>
                <w:rFonts w:ascii="Times New Roman"/>
                <w:color w:val="000000"/>
                <w:sz w:val="24"/>
              </w:rPr>
              <w:t>ż</w:t>
            </w:r>
            <w:r>
              <w:rPr>
                <w:rFonts w:ascii="Times New Roman"/>
                <w:color w:val="000000"/>
                <w:sz w:val="24"/>
              </w:rPr>
              <w:t>eli prospekt informacyjny, na podstawie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rego zawarto umow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 dewelopersk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 xml:space="preserve"> albo umow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>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</w:t>
            </w:r>
            <w:r w:rsidR="00294CB6" w:rsidRPr="00294CB6">
              <w:rPr>
                <w:rFonts w:ascii="Times New Roman"/>
                <w:color w:val="000000"/>
                <w:sz w:val="24"/>
              </w:rPr>
              <w:t xml:space="preserve"> Ustawy o ochronie praw nabywcy lokalu</w:t>
            </w:r>
            <w:r w:rsidR="00294CB6">
              <w:rPr>
                <w:rFonts w:ascii="Times New Roman"/>
                <w:color w:val="000000"/>
                <w:sz w:val="24"/>
              </w:rPr>
              <w:t xml:space="preserve"> (</w:t>
            </w:r>
            <w:r w:rsidR="00294CB6">
              <w:rPr>
                <w:rFonts w:ascii="Times New Roman"/>
                <w:color w:val="000000"/>
                <w:sz w:val="24"/>
              </w:rPr>
              <w:t>…</w:t>
            </w:r>
            <w:r w:rsidR="00294CB6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, nie zawiera danych lub informacji okre</w:t>
            </w:r>
            <w:r>
              <w:rPr>
                <w:rFonts w:ascii="Times New Roman"/>
                <w:color w:val="000000"/>
                <w:sz w:val="24"/>
              </w:rPr>
              <w:t>ś</w:t>
            </w:r>
            <w:r>
              <w:rPr>
                <w:rFonts w:ascii="Times New Roman"/>
                <w:color w:val="000000"/>
                <w:sz w:val="24"/>
              </w:rPr>
              <w:t>lonych we wzorze prospektu informacyjnego;</w:t>
            </w:r>
          </w:p>
          <w:p w:rsidR="00F15AB7" w:rsidRDefault="00F15AB7" w:rsidP="00F15AB7">
            <w:pPr>
              <w:spacing w:before="26" w:after="0"/>
              <w:ind w:left="373"/>
            </w:pPr>
            <w:r>
              <w:rPr>
                <w:rFonts w:ascii="Times New Roman"/>
                <w:color w:val="000000"/>
                <w:sz w:val="24"/>
              </w:rPr>
              <w:t xml:space="preserve">6) w przypadku </w:t>
            </w:r>
            <w:proofErr w:type="spellStart"/>
            <w:r>
              <w:rPr>
                <w:rFonts w:ascii="Times New Roman"/>
                <w:color w:val="000000"/>
                <w:sz w:val="24"/>
              </w:rPr>
              <w:t>nieprzeniesienia</w:t>
            </w:r>
            <w:proofErr w:type="spellEnd"/>
            <w:r>
              <w:rPr>
                <w:rFonts w:ascii="Times New Roman"/>
                <w:color w:val="000000"/>
                <w:sz w:val="24"/>
              </w:rPr>
              <w:t xml:space="preserve"> na nabywc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 praw wynikaj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cych z umowy deweloperskiej albo umowy,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5,</w:t>
            </w:r>
            <w:r w:rsidR="00294CB6" w:rsidRPr="00294CB6">
              <w:rPr>
                <w:rFonts w:ascii="Times New Roman"/>
                <w:color w:val="000000"/>
                <w:sz w:val="24"/>
              </w:rPr>
              <w:t xml:space="preserve"> Ustawy o ochronie praw nabywcy lokalu</w:t>
            </w:r>
            <w:r w:rsidR="00294CB6">
              <w:rPr>
                <w:rFonts w:ascii="Times New Roman"/>
                <w:color w:val="000000"/>
                <w:sz w:val="24"/>
              </w:rPr>
              <w:t xml:space="preserve"> (</w:t>
            </w:r>
            <w:r w:rsidR="00294CB6">
              <w:rPr>
                <w:rFonts w:ascii="Times New Roman"/>
                <w:color w:val="000000"/>
                <w:sz w:val="24"/>
              </w:rPr>
              <w:t>…</w:t>
            </w:r>
            <w:r w:rsidR="00294CB6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 xml:space="preserve"> w terminie wynikaj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cym z tych um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w;</w:t>
            </w:r>
          </w:p>
          <w:p w:rsidR="00F15AB7" w:rsidRDefault="00F15AB7" w:rsidP="00F15AB7">
            <w:pPr>
              <w:spacing w:before="26" w:after="0"/>
              <w:ind w:left="373"/>
            </w:pPr>
            <w:r>
              <w:rPr>
                <w:rFonts w:ascii="Times New Roman"/>
                <w:color w:val="000000"/>
                <w:sz w:val="24"/>
              </w:rPr>
              <w:t>7) w przypadku gdy deweloper nie zawrze umowy mieszkaniowego rachunku powierniczego z innym bankiem lub inn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 xml:space="preserve"> kas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 xml:space="preserve"> w trybie i terminie,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rych mowa w art. 10 ust. 1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;</w:t>
            </w:r>
          </w:p>
          <w:p w:rsidR="00F15AB7" w:rsidRDefault="00F15AB7" w:rsidP="00F15AB7">
            <w:pPr>
              <w:spacing w:before="26" w:after="0"/>
              <w:ind w:left="373"/>
            </w:pPr>
            <w:r>
              <w:rPr>
                <w:rFonts w:ascii="Times New Roman"/>
                <w:color w:val="000000"/>
                <w:sz w:val="24"/>
              </w:rPr>
              <w:t>8) w przypadku gdy deweloper nie posiada zgody wierzyciela hipotecznego lub zobowi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zania do jej udzielenia,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rych mowa w art. 25 ust. 1 pkt 1 lub 2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;</w:t>
            </w:r>
          </w:p>
          <w:p w:rsidR="00F15AB7" w:rsidRDefault="00F15AB7" w:rsidP="00F15AB7">
            <w:pPr>
              <w:spacing w:before="26" w:after="0"/>
              <w:ind w:left="373"/>
            </w:pPr>
            <w:r>
              <w:rPr>
                <w:rFonts w:ascii="Times New Roman"/>
                <w:color w:val="000000"/>
                <w:sz w:val="24"/>
              </w:rPr>
              <w:t>9) w przypadku niewykonania przez dewelopera obowi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zku,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rym mowa w art. 12 ust. 2,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 xml:space="preserve"> w terminie okre</w:t>
            </w:r>
            <w:r>
              <w:rPr>
                <w:rFonts w:ascii="Times New Roman"/>
                <w:color w:val="000000"/>
                <w:sz w:val="24"/>
              </w:rPr>
              <w:t>ś</w:t>
            </w:r>
            <w:r>
              <w:rPr>
                <w:rFonts w:ascii="Times New Roman"/>
                <w:color w:val="000000"/>
                <w:sz w:val="24"/>
              </w:rPr>
              <w:t>lonym w tym przepisie;</w:t>
            </w:r>
          </w:p>
          <w:p w:rsidR="00F15AB7" w:rsidRDefault="00F15AB7" w:rsidP="00F15AB7">
            <w:pPr>
              <w:spacing w:before="26" w:after="0"/>
              <w:ind w:left="373"/>
            </w:pPr>
            <w:r>
              <w:rPr>
                <w:rFonts w:ascii="Times New Roman"/>
                <w:color w:val="000000"/>
                <w:sz w:val="24"/>
              </w:rPr>
              <w:t>10) w przypadku nieusuni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>cia przez dewelopera wady istotnej lokalu mieszkalnego albo domu jednorodzinnego na zasadach okre</w:t>
            </w:r>
            <w:r>
              <w:rPr>
                <w:rFonts w:ascii="Times New Roman"/>
                <w:color w:val="000000"/>
                <w:sz w:val="24"/>
              </w:rPr>
              <w:t>ś</w:t>
            </w:r>
            <w:r>
              <w:rPr>
                <w:rFonts w:ascii="Times New Roman"/>
                <w:color w:val="000000"/>
                <w:sz w:val="24"/>
              </w:rPr>
              <w:t>lonych w art. 41 ust. 11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;</w:t>
            </w:r>
          </w:p>
          <w:p w:rsidR="00F15AB7" w:rsidRDefault="00F15AB7" w:rsidP="00F15AB7">
            <w:pPr>
              <w:spacing w:before="26" w:after="0"/>
              <w:ind w:left="373"/>
            </w:pPr>
            <w:r>
              <w:rPr>
                <w:rFonts w:ascii="Times New Roman"/>
                <w:color w:val="000000"/>
                <w:sz w:val="24"/>
              </w:rPr>
              <w:t>11) w przypadku stwierdzenia przez rzeczoznawc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 istnienia wady istotnej,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rym mowa w art. 41 ust. 15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;</w:t>
            </w:r>
          </w:p>
          <w:p w:rsidR="00F15AB7" w:rsidRDefault="00F15AB7" w:rsidP="00F15AB7">
            <w:pPr>
              <w:spacing w:before="26" w:after="0"/>
              <w:ind w:left="373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12) je</w:t>
            </w:r>
            <w:r>
              <w:rPr>
                <w:rFonts w:ascii="Times New Roman"/>
                <w:color w:val="000000"/>
                <w:sz w:val="24"/>
              </w:rPr>
              <w:t>ż</w:t>
            </w:r>
            <w:r>
              <w:rPr>
                <w:rFonts w:ascii="Times New Roman"/>
                <w:color w:val="000000"/>
                <w:sz w:val="24"/>
              </w:rPr>
              <w:t>eli syndyk za</w:t>
            </w:r>
            <w:r>
              <w:rPr>
                <w:rFonts w:ascii="Times New Roman"/>
                <w:color w:val="000000"/>
                <w:sz w:val="24"/>
              </w:rPr>
              <w:t>żą</w:t>
            </w:r>
            <w:r>
              <w:rPr>
                <w:rFonts w:ascii="Times New Roman"/>
                <w:color w:val="000000"/>
                <w:sz w:val="24"/>
              </w:rPr>
              <w:t>da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 xml:space="preserve"> wykonania umowy na podstawie </w:t>
            </w:r>
            <w:r>
              <w:rPr>
                <w:rFonts w:ascii="Times New Roman"/>
                <w:color w:val="1B1B1B"/>
                <w:sz w:val="24"/>
              </w:rPr>
              <w:t>art. 98</w:t>
            </w:r>
            <w:r>
              <w:rPr>
                <w:rFonts w:ascii="Times New Roman"/>
                <w:color w:val="000000"/>
                <w:sz w:val="24"/>
              </w:rPr>
              <w:t xml:space="preserve"> ustawy z dnia 28 lutego 2003 r. - Prawo upad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>o</w:t>
            </w:r>
            <w:r>
              <w:rPr>
                <w:rFonts w:ascii="Times New Roman"/>
                <w:color w:val="000000"/>
                <w:sz w:val="24"/>
              </w:rPr>
              <w:t>ś</w:t>
            </w:r>
            <w:r>
              <w:rPr>
                <w:rFonts w:ascii="Times New Roman"/>
                <w:color w:val="000000"/>
                <w:sz w:val="24"/>
              </w:rPr>
              <w:t>ciowe.</w:t>
            </w:r>
          </w:p>
          <w:p w:rsidR="000C1B09" w:rsidRDefault="000C1B09" w:rsidP="000C1B09">
            <w:pPr>
              <w:spacing w:before="26" w:after="0"/>
              <w:ind w:left="3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1B09" w:rsidRDefault="000C1B09" w:rsidP="000C1B09">
            <w:pPr>
              <w:spacing w:before="26" w:after="0"/>
            </w:pPr>
            <w:r>
              <w:rPr>
                <w:rFonts w:asci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/>
                <w:color w:val="000000"/>
                <w:sz w:val="24"/>
              </w:rPr>
              <w:t> </w:t>
            </w:r>
            <w:r>
              <w:rPr>
                <w:rFonts w:ascii="Times New Roman"/>
                <w:color w:val="000000"/>
                <w:sz w:val="24"/>
              </w:rPr>
              <w:t>W przypadkach,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rych mowa w ust. 1 pkt 1-5, nabywca ma prawo odst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pienia od umowy deweloperskiej albo umowy,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5, w terminie 30 dni od dnia jej zawarcia.</w:t>
            </w:r>
          </w:p>
          <w:p w:rsidR="000C1B09" w:rsidRDefault="000C1B09" w:rsidP="000C1B09">
            <w:pPr>
              <w:spacing w:before="26" w:after="0"/>
            </w:pPr>
            <w:r>
              <w:rPr>
                <w:rFonts w:ascii="Times New Roman"/>
                <w:color w:val="000000"/>
                <w:sz w:val="24"/>
              </w:rPr>
              <w:t>3.</w:t>
            </w:r>
            <w:r>
              <w:rPr>
                <w:rFonts w:ascii="Times New Roman"/>
                <w:color w:val="000000"/>
                <w:sz w:val="24"/>
              </w:rPr>
              <w:t> </w:t>
            </w:r>
            <w:r>
              <w:rPr>
                <w:rFonts w:ascii="Times New Roman"/>
                <w:color w:val="000000"/>
                <w:sz w:val="24"/>
              </w:rPr>
              <w:t>W przypadku,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rym mowa w ust. 1 pkt 6, przed skorzystaniem z prawa do odst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pienia od umowy nabywca wyznacza deweloperowi 120-dniowy termin na przeniesienie praw wynikaj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cych z umowy deweloperskiej albo umowy,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5, a w razie bezskutecznego up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>ywu wyznaczonego terminu jest uprawniony do odst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pienia od tej umowy. Nabywca zachowuje roszczenie z tytu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>u kary umownej za okres op</w:t>
            </w:r>
            <w:r>
              <w:rPr>
                <w:rFonts w:ascii="Times New Roman"/>
                <w:color w:val="000000"/>
                <w:sz w:val="24"/>
              </w:rPr>
              <w:t>óź</w:t>
            </w:r>
            <w:r>
              <w:rPr>
                <w:rFonts w:ascii="Times New Roman"/>
                <w:color w:val="000000"/>
                <w:sz w:val="24"/>
              </w:rPr>
              <w:t>nienia.</w:t>
            </w:r>
          </w:p>
          <w:p w:rsidR="000C1B09" w:rsidRDefault="000C1B09" w:rsidP="000C1B09">
            <w:pPr>
              <w:spacing w:before="26" w:after="0"/>
            </w:pPr>
            <w:r>
              <w:rPr>
                <w:rFonts w:ascii="Times New Roman"/>
                <w:color w:val="000000"/>
                <w:sz w:val="24"/>
              </w:rPr>
              <w:t>4.</w:t>
            </w:r>
            <w:r>
              <w:rPr>
                <w:rFonts w:ascii="Times New Roman"/>
                <w:color w:val="000000"/>
                <w:sz w:val="24"/>
              </w:rPr>
              <w:t> </w:t>
            </w:r>
            <w:r>
              <w:rPr>
                <w:rFonts w:ascii="Times New Roman"/>
                <w:color w:val="000000"/>
                <w:sz w:val="24"/>
              </w:rPr>
              <w:t>W przypadku,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rym mowa w ust. 1 pkt 7, nabywca ma prawo odst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pienia od umowy deweloperskiej albo umowy,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5, po dokonaniu przez bank lub kas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 zwrotu </w:t>
            </w:r>
            <w:r>
              <w:rPr>
                <w:rFonts w:ascii="Times New Roman"/>
                <w:color w:val="000000"/>
                <w:sz w:val="24"/>
              </w:rPr>
              <w:t>ś</w:t>
            </w:r>
            <w:r>
              <w:rPr>
                <w:rFonts w:ascii="Times New Roman"/>
                <w:color w:val="000000"/>
                <w:sz w:val="24"/>
              </w:rPr>
              <w:t>rodk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w zgodnie z art. 10 ust. 3.</w:t>
            </w:r>
          </w:p>
          <w:p w:rsidR="000C1B09" w:rsidRDefault="000C1B09" w:rsidP="000C1B09">
            <w:pPr>
              <w:spacing w:before="26" w:after="0"/>
            </w:pPr>
            <w:r>
              <w:rPr>
                <w:rFonts w:ascii="Times New Roman"/>
                <w:color w:val="000000"/>
                <w:sz w:val="24"/>
              </w:rPr>
              <w:t>5.</w:t>
            </w:r>
            <w:r>
              <w:rPr>
                <w:rFonts w:ascii="Times New Roman"/>
                <w:color w:val="000000"/>
                <w:sz w:val="24"/>
              </w:rPr>
              <w:t> </w:t>
            </w:r>
            <w:r>
              <w:rPr>
                <w:rFonts w:ascii="Times New Roman"/>
                <w:color w:val="000000"/>
                <w:sz w:val="24"/>
              </w:rPr>
              <w:t>W przypadku,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rym mowa w ust. 1 pkt 8, nabywca ma prawo odst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pienia od umowy deweloperskiej albo umowy,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, w terminie 60 dni od dnia jej zawarcia.</w:t>
            </w:r>
          </w:p>
          <w:p w:rsidR="000C1B09" w:rsidRDefault="000C1B09" w:rsidP="000C1B09">
            <w:pPr>
              <w:spacing w:before="26" w:after="0"/>
            </w:pPr>
            <w:r>
              <w:rPr>
                <w:rFonts w:ascii="Times New Roman"/>
                <w:color w:val="000000"/>
                <w:sz w:val="24"/>
              </w:rPr>
              <w:t>6.</w:t>
            </w:r>
            <w:r>
              <w:rPr>
                <w:rFonts w:ascii="Times New Roman"/>
                <w:color w:val="000000"/>
                <w:sz w:val="24"/>
              </w:rPr>
              <w:t> </w:t>
            </w:r>
            <w:r>
              <w:rPr>
                <w:rFonts w:ascii="Times New Roman"/>
                <w:color w:val="000000"/>
                <w:sz w:val="24"/>
              </w:rPr>
              <w:t>W przypadku,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rym mowa w ust. 1 pkt 9, nabywca ma prawo odst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pienia od umowy deweloperskiej albo umowy,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, po up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>ywie 60 dni od dnia podania do publicznej wiadomo</w:t>
            </w:r>
            <w:r>
              <w:rPr>
                <w:rFonts w:ascii="Times New Roman"/>
                <w:color w:val="000000"/>
                <w:sz w:val="24"/>
              </w:rPr>
              <w:t>ś</w:t>
            </w:r>
            <w:r>
              <w:rPr>
                <w:rFonts w:ascii="Times New Roman"/>
                <w:color w:val="000000"/>
                <w:sz w:val="24"/>
              </w:rPr>
              <w:t>ci informacji,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rych mowa w art. 12 ust. 1.</w:t>
            </w:r>
          </w:p>
          <w:p w:rsidR="000C1B09" w:rsidRDefault="000C1B09" w:rsidP="000C1B09">
            <w:pPr>
              <w:spacing w:before="26" w:after="0"/>
            </w:pPr>
            <w:r>
              <w:rPr>
                <w:rFonts w:ascii="Times New Roman"/>
                <w:color w:val="000000"/>
                <w:sz w:val="24"/>
              </w:rPr>
              <w:t>7.</w:t>
            </w:r>
            <w:r>
              <w:rPr>
                <w:rFonts w:ascii="Times New Roman"/>
                <w:color w:val="000000"/>
                <w:sz w:val="24"/>
              </w:rPr>
              <w:t> </w:t>
            </w:r>
            <w:r>
              <w:rPr>
                <w:rFonts w:ascii="Times New Roman"/>
                <w:color w:val="000000"/>
                <w:sz w:val="24"/>
              </w:rPr>
              <w:t>Deweloper ma prawo odst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pi</w:t>
            </w:r>
            <w:r>
              <w:rPr>
                <w:rFonts w:ascii="Times New Roman"/>
                <w:color w:val="000000"/>
                <w:sz w:val="24"/>
              </w:rPr>
              <w:t>ć</w:t>
            </w:r>
            <w:r>
              <w:rPr>
                <w:rFonts w:ascii="Times New Roman"/>
                <w:color w:val="000000"/>
                <w:sz w:val="24"/>
              </w:rPr>
              <w:t xml:space="preserve"> od umowy deweloperskiej albo umowy,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, w przypadku niespe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>nienia przez nabywc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</w:rPr>
              <w:t>ś</w:t>
            </w:r>
            <w:r>
              <w:rPr>
                <w:rFonts w:ascii="Times New Roman"/>
                <w:color w:val="000000"/>
                <w:sz w:val="24"/>
              </w:rPr>
              <w:t>wiadczenia pieni</w:t>
            </w:r>
            <w:r>
              <w:rPr>
                <w:rFonts w:ascii="Times New Roman"/>
                <w:color w:val="000000"/>
                <w:sz w:val="24"/>
              </w:rPr>
              <w:t>ęż</w:t>
            </w:r>
            <w:r>
              <w:rPr>
                <w:rFonts w:ascii="Times New Roman"/>
                <w:color w:val="000000"/>
                <w:sz w:val="24"/>
              </w:rPr>
              <w:t>nego w terminie lub wysoko</w:t>
            </w:r>
            <w:r>
              <w:rPr>
                <w:rFonts w:ascii="Times New Roman"/>
                <w:color w:val="000000"/>
                <w:sz w:val="24"/>
              </w:rPr>
              <w:t>ś</w:t>
            </w:r>
            <w:r>
              <w:rPr>
                <w:rFonts w:ascii="Times New Roman"/>
                <w:color w:val="000000"/>
                <w:sz w:val="24"/>
              </w:rPr>
              <w:t>ci okre</w:t>
            </w:r>
            <w:r>
              <w:rPr>
                <w:rFonts w:ascii="Times New Roman"/>
                <w:color w:val="000000"/>
                <w:sz w:val="24"/>
              </w:rPr>
              <w:t>ś</w:t>
            </w:r>
            <w:r>
              <w:rPr>
                <w:rFonts w:ascii="Times New Roman"/>
                <w:color w:val="000000"/>
                <w:sz w:val="24"/>
              </w:rPr>
              <w:t>lonych w umowie, mimo wezwania nabywcy w formie pisemnej do uiszczenia zaleg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>ych kwot w terminie 30 dni od dnia dor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czenia wezwania, chyba </w:t>
            </w:r>
            <w:r>
              <w:rPr>
                <w:rFonts w:ascii="Times New Roman"/>
                <w:color w:val="000000"/>
                <w:sz w:val="24"/>
              </w:rPr>
              <w:t>ż</w:t>
            </w:r>
            <w:r>
              <w:rPr>
                <w:rFonts w:ascii="Times New Roman"/>
                <w:color w:val="000000"/>
                <w:sz w:val="24"/>
              </w:rPr>
              <w:t>e niespe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>nienie przez nabywc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</w:rPr>
              <w:t>ś</w:t>
            </w:r>
            <w:r>
              <w:rPr>
                <w:rFonts w:ascii="Times New Roman"/>
                <w:color w:val="000000"/>
                <w:sz w:val="24"/>
              </w:rPr>
              <w:t>wiadczenia pieni</w:t>
            </w:r>
            <w:r>
              <w:rPr>
                <w:rFonts w:ascii="Times New Roman"/>
                <w:color w:val="000000"/>
                <w:sz w:val="24"/>
              </w:rPr>
              <w:t>ęż</w:t>
            </w:r>
            <w:r>
              <w:rPr>
                <w:rFonts w:ascii="Times New Roman"/>
                <w:color w:val="000000"/>
                <w:sz w:val="24"/>
              </w:rPr>
              <w:t>nego jest spowodowane dzia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>aniem si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>y wy</w:t>
            </w:r>
            <w:r>
              <w:rPr>
                <w:rFonts w:ascii="Times New Roman"/>
                <w:color w:val="000000"/>
                <w:sz w:val="24"/>
              </w:rPr>
              <w:t>ż</w:t>
            </w:r>
            <w:r>
              <w:rPr>
                <w:rFonts w:ascii="Times New Roman"/>
                <w:color w:val="000000"/>
                <w:sz w:val="24"/>
              </w:rPr>
              <w:t>szej.</w:t>
            </w:r>
          </w:p>
          <w:p w:rsidR="000C1B09" w:rsidRDefault="000C1B09" w:rsidP="000C1B09">
            <w:pPr>
              <w:spacing w:before="26" w:after="0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8.</w:t>
            </w:r>
            <w:r>
              <w:rPr>
                <w:rFonts w:ascii="Times New Roman"/>
                <w:color w:val="000000"/>
                <w:sz w:val="24"/>
              </w:rPr>
              <w:t> </w:t>
            </w:r>
            <w:r>
              <w:rPr>
                <w:rFonts w:ascii="Times New Roman"/>
                <w:color w:val="000000"/>
                <w:sz w:val="24"/>
              </w:rPr>
              <w:t>Deweloper ma prawo odst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pi</w:t>
            </w:r>
            <w:r>
              <w:rPr>
                <w:rFonts w:ascii="Times New Roman"/>
                <w:color w:val="000000"/>
                <w:sz w:val="24"/>
              </w:rPr>
              <w:t>ć</w:t>
            </w:r>
            <w:r>
              <w:rPr>
                <w:rFonts w:ascii="Times New Roman"/>
                <w:color w:val="000000"/>
                <w:sz w:val="24"/>
              </w:rPr>
              <w:t xml:space="preserve"> od umowy deweloperskiej albo umowy,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, w przypadku niestawienia si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 nabywcy do odbioru lokalu mieszkalnego albo domu jednorodzinnego lub podpisania aktu notarialnego przenosz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cego na nabywc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 prawa wynikaj</w:t>
            </w:r>
            <w:r>
              <w:rPr>
                <w:rFonts w:ascii="Times New Roman"/>
                <w:color w:val="000000"/>
                <w:sz w:val="24"/>
              </w:rPr>
              <w:t>ą</w:t>
            </w:r>
            <w:r>
              <w:rPr>
                <w:rFonts w:ascii="Times New Roman"/>
                <w:color w:val="000000"/>
                <w:sz w:val="24"/>
              </w:rPr>
              <w:t>ce z umowy deweloperskiej albo umowy, o kt</w:t>
            </w:r>
            <w:r>
              <w:rPr>
                <w:rFonts w:ascii="Times New Roman"/>
                <w:color w:val="000000"/>
                <w:sz w:val="24"/>
              </w:rPr>
              <w:t>ó</w:t>
            </w:r>
            <w:r>
              <w:rPr>
                <w:rFonts w:ascii="Times New Roman"/>
                <w:color w:val="000000"/>
                <w:sz w:val="24"/>
              </w:rPr>
              <w:t>rej mowa w art. 2 ust. 1 pkt 2, 3 lub 5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, mimo dwukrotnego dor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>czenia wezwania w formie pisemnej w odst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pie co najmniej 60 dni, chyba </w:t>
            </w:r>
            <w:r>
              <w:rPr>
                <w:rFonts w:ascii="Times New Roman"/>
                <w:color w:val="000000"/>
                <w:sz w:val="24"/>
              </w:rPr>
              <w:t>ż</w:t>
            </w:r>
            <w:r>
              <w:rPr>
                <w:rFonts w:ascii="Times New Roman"/>
                <w:color w:val="000000"/>
                <w:sz w:val="24"/>
              </w:rPr>
              <w:t>e niestawienie si</w:t>
            </w:r>
            <w:r>
              <w:rPr>
                <w:rFonts w:ascii="Times New Roman"/>
                <w:color w:val="000000"/>
                <w:sz w:val="24"/>
              </w:rPr>
              <w:t>ę</w:t>
            </w:r>
            <w:r>
              <w:rPr>
                <w:rFonts w:ascii="Times New Roman"/>
                <w:color w:val="000000"/>
                <w:sz w:val="24"/>
              </w:rPr>
              <w:t xml:space="preserve"> nabywcy jest spowodowane dzia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>aniem si</w:t>
            </w:r>
            <w:r>
              <w:rPr>
                <w:rFonts w:ascii="Times New Roman"/>
                <w:color w:val="000000"/>
                <w:sz w:val="24"/>
              </w:rPr>
              <w:t>ł</w:t>
            </w:r>
            <w:r>
              <w:rPr>
                <w:rFonts w:ascii="Times New Roman"/>
                <w:color w:val="000000"/>
                <w:sz w:val="24"/>
              </w:rPr>
              <w:t>y wy</w:t>
            </w:r>
            <w:r>
              <w:rPr>
                <w:rFonts w:ascii="Times New Roman"/>
                <w:color w:val="000000"/>
                <w:sz w:val="24"/>
              </w:rPr>
              <w:t>ż</w:t>
            </w:r>
            <w:r>
              <w:rPr>
                <w:rFonts w:ascii="Times New Roman"/>
                <w:color w:val="000000"/>
                <w:sz w:val="24"/>
              </w:rPr>
              <w:t>szej.</w:t>
            </w:r>
          </w:p>
          <w:p w:rsidR="00B166C0" w:rsidRDefault="00B166C0" w:rsidP="000C1B09">
            <w:pPr>
              <w:spacing w:before="26" w:after="0"/>
              <w:rPr>
                <w:rFonts w:ascii="Times New Roman"/>
                <w:color w:val="000000"/>
                <w:sz w:val="24"/>
              </w:rPr>
            </w:pPr>
          </w:p>
          <w:p w:rsidR="00B166C0" w:rsidRPr="00B166C0" w:rsidRDefault="00B166C0" w:rsidP="00B16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  <w:r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skorzystania przez nabywcę z prawa odstąpienia, o którym mowa w art. 43 ust.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Deweloperskiej </w:t>
            </w:r>
            <w:r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umowa uważana jest za niezawartą, a nabywca nie ponosi żadnych kosztów związanych z odstąpieniem od umowy.</w:t>
            </w:r>
          </w:p>
          <w:p w:rsidR="00B166C0" w:rsidRPr="00B166C0" w:rsidRDefault="00B166C0" w:rsidP="00B16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66C0" w:rsidRPr="00B166C0" w:rsidRDefault="00B166C0" w:rsidP="00B16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  <w:r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Deweloper ma obowiązek niezwłocznie, jednak nie później niż w terminie 30 dni od dnia otrzymania oświadczenia nabywcy o odstąpieniu od umowy, zwrócić nabywcy środki wypłacone deweloperowi przez bank lub kasa z otwartego mieszkaniowego rachunku powierniczego w związku z realizacją umowy deweloperskiej albo umowy, o której mowa w art. 2 ust. 1 pkt 2, 3 lub 5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B166C0" w:rsidRPr="00B166C0" w:rsidRDefault="00B166C0" w:rsidP="00B16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  <w:r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W terminie 30 dni od dnia otrzymania oświadczenia nabywcy o odstąpieniu od umowy deweloper przekazuje do Ubezpieczeniowego Funduszu Gwarancyjnego, o którym mowa w rozdziale 7 </w:t>
            </w:r>
            <w:hyperlink r:id="rId7" w:anchor="/document/17041156" w:history="1">
              <w:r w:rsidRPr="00B166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ustawy</w:t>
              </w:r>
            </w:hyperlink>
            <w:r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22 maja 2003 r. o ubezpieczeniach obowiązkowych, Ubezpieczeniowym Funduszu Gwarancyjnym i Polskim Biurze Ubezpieczycieli Komunikacyjnych (Dz. U. z 2023 r. poz. 2500), zwanego dalej "Ubezpieczeniowym Funduszem Gwarancyjnym", w celu realizacji przez ten fundusz zwrotu wpłat nabywców w przypadku określonym w art. 48 ust. 1 pkt 6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informację o wysokości środków zwróconych nabywcy w związku z odstąpieniem przez niego od umowy i dacie dokonania zwrotu tych środków.</w:t>
            </w:r>
          </w:p>
          <w:p w:rsidR="00B166C0" w:rsidRPr="00B166C0" w:rsidRDefault="00294CB6" w:rsidP="00B16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  <w:r w:rsidR="00B166C0"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woli nabywcy o odstąpieniu od umowy deweloperskiej albo umowy, o której mowa w art. 2 ust. 1 pkt 2, 3 lub 5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 w:rsidR="00B166C0"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jest skuteczne, jeżeli zawiera zgodę na wykreślenie z księgi wieczystej odpowiednich roszczeń, o których mowa w art. 38 ust. 2, i jest złożone w formie pisemnej z podpisami notarialnie poświadczonymi.</w:t>
            </w:r>
          </w:p>
          <w:p w:rsidR="00B166C0" w:rsidRPr="00B166C0" w:rsidRDefault="00294CB6" w:rsidP="00B16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  <w:r w:rsidR="00B166C0"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W przypadku odstąpienia od umowy deweloperskiej albo umowy, o której mowa w art. 2 ust. 1 pkt 2, 3 lub 5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 w:rsidR="00B166C0"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przez dewelopera na podstawie art. 43 ust. 7 lub 8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 w:rsidR="00B166C0"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nabywca jest obowiązany wyrazić zgodę na wykreślenie z księgi wieczystej odpowiednich roszczeń, o których mowa w art. 38 ust. 2</w:t>
            </w:r>
            <w:r w:rsidR="002038D2" w:rsidRPr="00294CB6">
              <w:rPr>
                <w:rFonts w:ascii="Times New Roman"/>
                <w:color w:val="000000"/>
                <w:sz w:val="24"/>
              </w:rPr>
              <w:t xml:space="preserve"> </w:t>
            </w:r>
            <w:r w:rsidR="002038D2" w:rsidRPr="00294CB6">
              <w:rPr>
                <w:rFonts w:ascii="Times New Roman"/>
                <w:color w:val="000000"/>
                <w:sz w:val="24"/>
              </w:rPr>
              <w:t>Ustawy o ochronie praw nabywcy lokalu</w:t>
            </w:r>
            <w:r w:rsidR="002038D2">
              <w:rPr>
                <w:rFonts w:ascii="Times New Roman"/>
                <w:color w:val="000000"/>
                <w:sz w:val="24"/>
              </w:rPr>
              <w:t xml:space="preserve"> (</w:t>
            </w:r>
            <w:r w:rsidR="002038D2">
              <w:rPr>
                <w:rFonts w:ascii="Times New Roman"/>
                <w:color w:val="000000"/>
                <w:sz w:val="24"/>
              </w:rPr>
              <w:t>…</w:t>
            </w:r>
            <w:r w:rsidR="002038D2">
              <w:rPr>
                <w:rFonts w:ascii="Times New Roman"/>
                <w:color w:val="000000"/>
                <w:sz w:val="24"/>
              </w:rPr>
              <w:t>)</w:t>
            </w:r>
            <w:r w:rsidR="00B166C0" w:rsidRPr="00B166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B166C0" w:rsidRDefault="00B166C0" w:rsidP="000C1B09">
            <w:pPr>
              <w:spacing w:before="26" w:after="0"/>
            </w:pPr>
          </w:p>
          <w:p w:rsidR="000C1B09" w:rsidRPr="00EA1C22" w:rsidRDefault="000C1B09" w:rsidP="000C1B09">
            <w:pPr>
              <w:spacing w:before="26" w:after="0"/>
              <w:ind w:left="3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D1D" w:rsidRPr="00EA1C22" w:rsidTr="00A80C58">
        <w:trPr>
          <w:trHeight w:val="510"/>
        </w:trPr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INNE INFORMACJE </w:t>
            </w:r>
          </w:p>
        </w:tc>
      </w:tr>
      <w:tr w:rsidR="005F6D1D" w:rsidRPr="00EA1C22" w:rsidTr="00A80C58">
        <w:trPr>
          <w:trHeight w:val="1512"/>
        </w:trPr>
        <w:tc>
          <w:tcPr>
            <w:tcW w:w="9648" w:type="dxa"/>
            <w:gridSpan w:val="3"/>
            <w:tcBorders>
              <w:bottom w:val="nil"/>
            </w:tcBorders>
            <w:shd w:val="clear" w:color="auto" w:fill="F3F3F3"/>
          </w:tcPr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I. Informacja o: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zgodzie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zobowiązanie do jej udzielenia, jeżeli takie obciążenie istnieje, albo zgodzie banku lub innego wierzyciela hipotecznego na </w:t>
            </w:r>
            <w:proofErr w:type="spellStart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korzystania z części nieruchomości służącej zaspokajaniu potrzeb mieszkaniowych po wpłacie pełnej ceny przez nabywcę lub zobowiązanie do jej udzielenia, jeżeli takie obciążenie istnieje; 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umów, o których mowa w art. 2 ust. 2 ustawy z dnia … o ochronie praw nabywcy lokalu mieszkalnego lub domu jednorodzinnego oraz o Deweloperskim Funduszu Gwarancyjnym,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zgodzie banku lub innego wierzyciela hipotecznego na </w:t>
            </w:r>
            <w:proofErr w:type="spellStart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własności lokalu użytkowego na nabywcę po wpłacie pełnej ceny przez nabywcę lub zobowiązanie do udzielenia takiej zgody, jeżeli takie obciążenie istnieje, albo zgodzie banku lub innego wierzyciela hipotecznego na </w:t>
            </w:r>
            <w:proofErr w:type="spellStart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ułamkowej części własności lokalu użytkowego po wpłacie pełnej ceny przez nabywcę lub zobowiązanie do udzielenia takiej zgody, jeżeli takie obciążenie istnieje.</w:t>
            </w:r>
          </w:p>
        </w:tc>
      </w:tr>
      <w:tr w:rsidR="005F6D1D" w:rsidRPr="00EA1C22" w:rsidTr="00A80C58">
        <w:trPr>
          <w:trHeight w:val="1512"/>
        </w:trPr>
        <w:tc>
          <w:tcPr>
            <w:tcW w:w="964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II. Informacja o możliwości zapoznania się w lokalu przedsiębiorstwa przez osobę zainteresowaną zawarciem umowy odpowiednio do zakresu umowy z: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aktualnym stanem księgi wieczystej;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 lub wydrukiem ze strony internetowej tej ewidencji;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kopią decyzji o pozwoleniu na budowę;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sprawozdaniem finansowym dewelopera za ostatnie dwa lata, a w przypadku realizacji inwestycji przez spółkę celową – sprawozdaniem spółki dominującej oraz spółki celowej;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projektem budowlanym;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kopią decyzji o pozwoleniu na użytkowanie budynku;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zaświadczeniem o samodzielności lokalu;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aktem ustanowienia odrębnej własności lokalu;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dokumentem potwierdzającym: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1163" w:hanging="42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zgodę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zobowiązaniem do jej udzielenia, jeżeli takie obciążenie istnieje, albo zgodą banku lub innego wierzyciela hipotecznego na </w:t>
            </w:r>
            <w:proofErr w:type="spellStart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zobowiązaniem do jej udzielenia, jeżeli takie obciążenie istnieje, 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1163" w:hanging="42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umów, o których mowa w art. 2 ust. 2 z dnia … o ochronie praw nabywcy lokalu mieszkalnego lub domu jednorodzinnego oraz o Deweloperskim Funduszu Gwarancyjnym,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zgodą banku lub innego wierzyciela hipotecznego na </w:t>
            </w:r>
            <w:proofErr w:type="spellStart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własności lokalu użytkowego na nabywcę po wpłacie pełnej ceny przez nabywcę lub zobowiązaniem do udzielenia takiej zgody, jeżeli takie obciążenie istnieje, albo zgodą banku lub innego wierzyciela hipotecznego na </w:t>
            </w:r>
            <w:proofErr w:type="spellStart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ułamkowej części własności lokalu użytkowego po wpłacie pełnej ceny przez nabywcę lub zobowiązaniem do udzielenia takiej zgody, jeżeli takie obciążenie istnieje.</w:t>
            </w:r>
          </w:p>
        </w:tc>
      </w:tr>
      <w:tr w:rsidR="005F6D1D" w:rsidRPr="00EA1C22" w:rsidTr="00A80C58">
        <w:trPr>
          <w:trHeight w:val="1512"/>
        </w:trPr>
        <w:tc>
          <w:tcPr>
            <w:tcW w:w="9648" w:type="dxa"/>
            <w:gridSpan w:val="3"/>
            <w:tcBorders>
              <w:top w:val="nil"/>
            </w:tcBorders>
            <w:shd w:val="clear" w:color="auto" w:fill="FFFFFF"/>
          </w:tcPr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III. Informacja: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Środki pieniężne zgromadzone w… [nazwa banku prowadzącego mieszkaniowy rachunek powierniczy], prowadzącym otwarty mieszkaniowy rachunek powierniczy albo zamknięty mieszkaniowy rachunek powierniczy, są objęte ochroną obowiązkowego systemu gwarantowania depozytów, na zasadach określonych w ustawie z dnia 10 czerwca 2016 r. o Bankowym Funduszu Gwarancyjnym, systemie gwarantowania depozytów oraz przymusowej restrukturyzacji (Dz. U. z 2020 r. poz. 842).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Informacje podstawowe o obowiązkowym systemie gwarantowania depozytów: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ochrona środków dotyczy sytuacji spełnienia warunku gwarancji wobec ………… [nazwa banku prowadzącego mieszkaniowy rachunek powierniczy],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rachunku powierniczego deponentem (uprawnionym do środków gwarantowanych) jest każdy z powierzających, w granicach wynikających z jego udziału w kwocie zgromadzonej na tym rachunku, a w granicach pozostałej kwoty na rachunku prawo do środków gwarantowanych ma powiernik,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limit gwarancyjny przypadający na jednego deponent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to równowartość w złotych 100 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000 euro; w przypadkach określonych w art. 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ust. 3 i 4 ustawy z dnia 10 czerwca 2016 r. o Bankowym Funduszu Gwarancyjnym, systemie gwarantowania depozytów oraz przymusowej restrukturyzacji, środki deponenta, w terminie 3 miesięcy od dnia ich wpływu na rachunek, objęte są gwarancjami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onad równowartość w złotych 100 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000 euro,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podstawą wyliczenia kwoty środków gwarantowanych należnej deponentowi jest suma wszystkich podlegających ochronie należności tego deponenta od banku, w tym należności z tytułu środków zgromadzonych na jego rachunkach osobistych i z tytułu jego udziału w środkach zgromadzonych na rachunku powierniczym,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wypłata środków gwarantowanych – co do zasady – następuje w terminie 7 dni roboczych od dnia spełnienia warunku gwarancji wobec banku,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wypłata środków gwarantowanych jest dokonywana w złotych,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 [nazwa banku prowadzącego mieszkaniowy rachunek powierniczy] korzysta także z następujących znaków towarowych: …………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Dalsze informacje na temat systemu gwarantowania depozytów można uzyskać na stronie internetowej Bankowego Funduszu Gwarancyjnego: https://www.bfg.pl/.</w:t>
            </w:r>
          </w:p>
          <w:p w:rsidR="005F6D1D" w:rsidRPr="00EA1C22" w:rsidRDefault="005F6D1D" w:rsidP="005F6D1D">
            <w:pPr>
              <w:widowControl w:val="0"/>
              <w:numPr>
                <w:ilvl w:val="0"/>
                <w:numId w:val="2"/>
              </w:numPr>
              <w:tabs>
                <w:tab w:val="num" w:pos="314"/>
                <w:tab w:val="left" w:pos="728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Informacja zamieszczana w przypadku </w:t>
            </w:r>
            <w:r w:rsidRPr="00EA1C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zawarcia umowy mieszkaniowego rachunku powierniczego z oddziałem instytucji kredytowej, o której mowa w art. 4 ust. 1 pkt 18 ustawy z dnia 29 sierpnia 1997 r. – Prawo bankowe (Dz. U. z 2020 r. poz. 1896, 2320 i 2419).</w:t>
            </w:r>
          </w:p>
          <w:p w:rsidR="005F6D1D" w:rsidRPr="00EA1C22" w:rsidRDefault="005F6D1D" w:rsidP="005F6D1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Oddział instytucji kredytowej, w rozumieniu art. 4 ust. 1 pkt 18 ustawy z dnia 29 sierpnia 1997 r. – Prawo bankowe jest objęty systemem gwarantowania państwa macierzystego, co oznacza, że nie mają do niego zastosowania przepisy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ustawy z dnia 10 czerwca 2016 r. o Bankowym Funduszu Gwarancyjnym systemie gwarantowania depozytów oraz przymusowej restrukturyzacji.</w:t>
            </w:r>
          </w:p>
        </w:tc>
      </w:tr>
    </w:tbl>
    <w:p w:rsidR="00A80C58" w:rsidRDefault="00A80C58" w:rsidP="00EA1C22">
      <w:pPr>
        <w:spacing w:beforeLines="60" w:before="144" w:afterLines="60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A1C22" w:rsidRPr="00EA1C22" w:rsidRDefault="00EA1C22" w:rsidP="00EA1C22">
      <w:pPr>
        <w:spacing w:beforeLines="60" w:before="144" w:afterLines="60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A1C22" w:rsidRPr="00EA1C22" w:rsidRDefault="00EA1C22" w:rsidP="00EA1C22">
      <w:pPr>
        <w:spacing w:beforeLines="60" w:before="144" w:afterLines="60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EA1C22" w:rsidRPr="00EA1C22" w:rsidSect="00A80C58">
      <w:footerReference w:type="default" r:id="rId8"/>
      <w:footerReference w:type="first" r:id="rId9"/>
      <w:footnotePr>
        <w:numRestart w:val="eachPage"/>
      </w:footnotePr>
      <w:pgSz w:w="11906" w:h="16838"/>
      <w:pgMar w:top="1417" w:right="1417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5D5" w:rsidRDefault="001125D5" w:rsidP="00EA1C22">
      <w:pPr>
        <w:spacing w:after="0" w:line="240" w:lineRule="auto"/>
      </w:pPr>
      <w:r>
        <w:separator/>
      </w:r>
    </w:p>
  </w:endnote>
  <w:endnote w:type="continuationSeparator" w:id="0">
    <w:p w:rsidR="001125D5" w:rsidRDefault="001125D5" w:rsidP="00EA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EE"/>
    <w:family w:val="swiss"/>
    <w:pitch w:val="variable"/>
  </w:font>
  <w:font w:name="Univers-P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071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94CB6" w:rsidRPr="007E3E4D" w:rsidRDefault="00294CB6" w:rsidP="007E3E4D">
        <w:pPr>
          <w:pStyle w:val="Stopka"/>
          <w:jc w:val="center"/>
          <w:rPr>
            <w:rFonts w:ascii="Times New Roman" w:hAnsi="Times New Roman" w:cs="Times New Roman"/>
            <w:sz w:val="24"/>
          </w:rPr>
        </w:pPr>
        <w:r w:rsidRPr="00143535">
          <w:rPr>
            <w:rFonts w:ascii="Times New Roman" w:hAnsi="Times New Roman" w:cs="Times New Roman"/>
            <w:sz w:val="24"/>
          </w:rPr>
          <w:fldChar w:fldCharType="begin"/>
        </w:r>
        <w:r w:rsidRPr="00143535">
          <w:rPr>
            <w:rFonts w:ascii="Times New Roman" w:hAnsi="Times New Roman" w:cs="Times New Roman"/>
            <w:sz w:val="24"/>
          </w:rPr>
          <w:instrText>PAGE   \* MERGEFORMAT</w:instrText>
        </w:r>
        <w:r w:rsidRPr="00143535">
          <w:rPr>
            <w:rFonts w:ascii="Times New Roman" w:hAnsi="Times New Roman" w:cs="Times New Roman"/>
            <w:sz w:val="24"/>
          </w:rPr>
          <w:fldChar w:fldCharType="separate"/>
        </w:r>
        <w:r w:rsidR="00162487">
          <w:rPr>
            <w:rFonts w:ascii="Times New Roman" w:hAnsi="Times New Roman" w:cs="Times New Roman"/>
            <w:noProof/>
            <w:sz w:val="24"/>
          </w:rPr>
          <w:t>10</w:t>
        </w:r>
        <w:r w:rsidRPr="0014353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B6" w:rsidRDefault="00294CB6">
    <w:pPr>
      <w:pStyle w:val="Stopka"/>
      <w:jc w:val="center"/>
    </w:pPr>
  </w:p>
  <w:p w:rsidR="00294CB6" w:rsidRDefault="00294C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5D5" w:rsidRDefault="001125D5" w:rsidP="00EA1C22">
      <w:pPr>
        <w:spacing w:after="0" w:line="240" w:lineRule="auto"/>
      </w:pPr>
      <w:r>
        <w:separator/>
      </w:r>
    </w:p>
  </w:footnote>
  <w:footnote w:type="continuationSeparator" w:id="0">
    <w:p w:rsidR="001125D5" w:rsidRDefault="001125D5" w:rsidP="00EA1C22">
      <w:pPr>
        <w:spacing w:after="0" w:line="240" w:lineRule="auto"/>
      </w:pPr>
      <w:r>
        <w:continuationSeparator/>
      </w:r>
    </w:p>
  </w:footnote>
  <w:footnote w:id="1">
    <w:p w:rsidR="00294CB6" w:rsidRPr="009017DC" w:rsidRDefault="00294CB6" w:rsidP="007E3E4D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D376F">
        <w:rPr>
          <w:rStyle w:val="Odwoanieprzypisudolnego"/>
          <w:rFonts w:ascii="Times New Roman" w:hAnsi="Times New Roman"/>
          <w:sz w:val="18"/>
          <w:szCs w:val="18"/>
        </w:rPr>
        <w:t>1)</w:t>
      </w:r>
      <w:r>
        <w:rPr>
          <w:rFonts w:ascii="Times New Roman" w:hAnsi="Times New Roman"/>
          <w:sz w:val="18"/>
          <w:szCs w:val="18"/>
        </w:rPr>
        <w:tab/>
      </w:r>
      <w:r w:rsidRPr="00BD376F">
        <w:rPr>
          <w:rFonts w:ascii="Times New Roman" w:hAnsi="Times New Roman"/>
          <w:sz w:val="18"/>
          <w:szCs w:val="18"/>
        </w:rPr>
        <w:t>J</w:t>
      </w:r>
      <w:r w:rsidRPr="009017DC">
        <w:rPr>
          <w:rFonts w:ascii="Times New Roman" w:hAnsi="Times New Roman"/>
          <w:sz w:val="18"/>
          <w:szCs w:val="18"/>
        </w:rPr>
        <w:t>eżeli działka nie posiada adresu, należy opisowo określić jej położenie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">
    <w:p w:rsidR="00294CB6" w:rsidRPr="00143535" w:rsidRDefault="00294CB6" w:rsidP="00143535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W szczególności imię i nazwisko albo firma właściciela lub użytkownika wieczystego oraz istniejące obciążenia na nieruchomości.</w:t>
      </w:r>
    </w:p>
  </w:footnote>
  <w:footnote w:id="3">
    <w:p w:rsidR="00294CB6" w:rsidRPr="00143535" w:rsidRDefault="00294CB6" w:rsidP="00143535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3)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W szczególności obiekty generujące uciążliwości zapachowe, hałasowe, świetlne.</w:t>
      </w:r>
    </w:p>
  </w:footnote>
  <w:footnote w:id="4">
    <w:p w:rsidR="00294CB6" w:rsidRPr="00143535" w:rsidRDefault="00294CB6" w:rsidP="0014353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Akty prawne (rozporządzenia, zarządzenia, uchwały) w sprawie:</w:t>
      </w:r>
    </w:p>
    <w:p w:rsidR="00294CB6" w:rsidRPr="00143535" w:rsidRDefault="00294CB6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dokonania rezerwacji obszaru inwestycji (CPK),</w:t>
      </w:r>
    </w:p>
    <w:p w:rsidR="00294CB6" w:rsidRPr="00143535" w:rsidRDefault="00294CB6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lokalizacji inwestycji mieszkaniowej lub inwestycji towarzyszącej,</w:t>
      </w:r>
    </w:p>
    <w:p w:rsidR="00294CB6" w:rsidRPr="00143535" w:rsidRDefault="00294CB6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ustanowienia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grzybów),</w:t>
      </w:r>
    </w:p>
    <w:p w:rsidR="00294CB6" w:rsidRPr="00143535" w:rsidRDefault="00294CB6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ustanowienia strefy ochronnej terenu ochrony bezpośredniej i terenu ochrony pośredniej ujęcia wody,</w:t>
      </w:r>
    </w:p>
    <w:p w:rsidR="00294CB6" w:rsidRPr="00143535" w:rsidRDefault="00294CB6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wyznaczenia obszarów cichych w aglomeracji lub obszarów cichych poza aglomeracją,</w:t>
      </w:r>
    </w:p>
    <w:p w:rsidR="00294CB6" w:rsidRPr="00143535" w:rsidRDefault="00294CB6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utworzenia obszaru ograniczonego użytkowania,</w:t>
      </w:r>
    </w:p>
    <w:p w:rsidR="00294CB6" w:rsidRPr="00143535" w:rsidRDefault="00294CB6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uznania zabytku za pomnik historii,</w:t>
      </w:r>
    </w:p>
    <w:p w:rsidR="00294CB6" w:rsidRPr="00143535" w:rsidRDefault="00294CB6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określenia granic obszaru Pomnika Zagłady i jego strefy ochronnej, utworzenia parku kulturowego,</w:t>
      </w:r>
    </w:p>
    <w:p w:rsidR="00294CB6" w:rsidRPr="00A80C58" w:rsidRDefault="00294CB6" w:rsidP="00A774B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A80C58">
        <w:rPr>
          <w:rFonts w:cs="Times New Roman"/>
          <w:sz w:val="18"/>
          <w:szCs w:val="18"/>
        </w:rPr>
        <w:t>ustalenia zasad i warunków sytuowania obiektów małej architektury, tablic reklamowych i urządzeń reklamowych oraz ogrodzeń, ich gabarytów, standardów jakościowych oraz rodzajów materiałów budowlanych.</w:t>
      </w:r>
    </w:p>
  </w:footnote>
  <w:footnote w:id="5">
    <w:p w:rsidR="00294CB6" w:rsidRPr="00077623" w:rsidRDefault="00294CB6" w:rsidP="00EA1C22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</w:rPr>
        <w:t>*</w:t>
      </w:r>
      <w:r>
        <w:t xml:space="preserve"> </w:t>
      </w:r>
      <w:r w:rsidRPr="00077623">
        <w:rPr>
          <w:rFonts w:ascii="Times New Roman" w:hAnsi="Times New Roman"/>
          <w:sz w:val="18"/>
          <w:szCs w:val="18"/>
        </w:rPr>
        <w:t>W przypadku braku miejscowego planu zagospodarowania przestrzennego umieszcza się informację „Brak planu”</w:t>
      </w:r>
      <w:r>
        <w:rPr>
          <w:rFonts w:ascii="Times New Roman" w:hAnsi="Times New Roman"/>
          <w:sz w:val="18"/>
          <w:szCs w:val="18"/>
        </w:rPr>
        <w:t>.</w:t>
      </w:r>
      <w:r w:rsidRPr="00077623">
        <w:rPr>
          <w:rFonts w:ascii="Times New Roman" w:hAnsi="Times New Roman"/>
          <w:sz w:val="18"/>
          <w:szCs w:val="18"/>
        </w:rPr>
        <w:t xml:space="preserve"> </w:t>
      </w:r>
    </w:p>
  </w:footnote>
  <w:footnote w:id="6">
    <w:p w:rsidR="00294CB6" w:rsidRPr="008B0E61" w:rsidRDefault="00294CB6" w:rsidP="007E3E4D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B0E61">
        <w:rPr>
          <w:rStyle w:val="Odwoanieprzypisudolnego"/>
          <w:rFonts w:ascii="Times New Roman" w:hAnsi="Times New Roman"/>
          <w:sz w:val="18"/>
          <w:szCs w:val="18"/>
        </w:rPr>
        <w:t>5)</w:t>
      </w:r>
      <w:r>
        <w:rPr>
          <w:rFonts w:ascii="Times New Roman" w:hAnsi="Times New Roman"/>
          <w:sz w:val="18"/>
          <w:szCs w:val="18"/>
        </w:rPr>
        <w:tab/>
      </w:r>
      <w:r w:rsidRPr="008B0E61">
        <w:rPr>
          <w:rFonts w:ascii="Times New Roman" w:hAnsi="Times New Roman"/>
          <w:sz w:val="18"/>
          <w:szCs w:val="18"/>
        </w:rPr>
        <w:t>Wskazane inwestycje dotyczą w szczególności budowy lub rozbudowy dróg, budowy linii szynowych oraz przewidzianych korytarzy powietrznych, inwestycji komunalnych</w:t>
      </w:r>
      <w:r>
        <w:rPr>
          <w:rFonts w:ascii="Times New Roman" w:hAnsi="Times New Roman"/>
          <w:sz w:val="18"/>
          <w:szCs w:val="18"/>
        </w:rPr>
        <w:t>,</w:t>
      </w:r>
      <w:r w:rsidRPr="008B0E61">
        <w:rPr>
          <w:rFonts w:ascii="Times New Roman" w:hAnsi="Times New Roman"/>
          <w:sz w:val="18"/>
          <w:szCs w:val="18"/>
        </w:rPr>
        <w:t xml:space="preserve"> takich jak: oczyszczalnie ścieków, spalarnie śmieci, wysypiska, cmentarze.</w:t>
      </w:r>
    </w:p>
  </w:footnote>
  <w:footnote w:id="7">
    <w:p w:rsidR="00294CB6" w:rsidRPr="008B0E61" w:rsidRDefault="00294CB6" w:rsidP="00EA1C22">
      <w:pPr>
        <w:pStyle w:val="Tekstprzypisudolnego"/>
        <w:rPr>
          <w:rFonts w:ascii="Times New Roman" w:hAnsi="Times New Roman"/>
          <w:sz w:val="18"/>
          <w:szCs w:val="18"/>
        </w:rPr>
      </w:pPr>
      <w:r w:rsidRPr="008B0E61">
        <w:rPr>
          <w:rStyle w:val="Odwoanieprzypisudolnego"/>
          <w:rFonts w:ascii="Times New Roman" w:hAnsi="Times New Roman"/>
          <w:sz w:val="18"/>
          <w:szCs w:val="18"/>
        </w:rPr>
        <w:t>*</w:t>
      </w:r>
      <w:r w:rsidRPr="008B0E61">
        <w:rPr>
          <w:rFonts w:ascii="Times New Roman" w:hAnsi="Times New Roman"/>
          <w:sz w:val="18"/>
          <w:szCs w:val="18"/>
        </w:rPr>
        <w:t xml:space="preserve"> Niepotrzebne skreślić</w:t>
      </w:r>
      <w:r>
        <w:rPr>
          <w:rFonts w:ascii="Times New Roman" w:hAnsi="Times New Roman"/>
          <w:sz w:val="18"/>
          <w:szCs w:val="18"/>
        </w:rPr>
        <w:t>.</w:t>
      </w:r>
      <w:r w:rsidRPr="008B0E61">
        <w:rPr>
          <w:rFonts w:ascii="Times New Roman" w:hAnsi="Times New Roman"/>
          <w:sz w:val="18"/>
          <w:szCs w:val="18"/>
        </w:rPr>
        <w:t xml:space="preserve"> </w:t>
      </w:r>
    </w:p>
  </w:footnote>
  <w:footnote w:id="8">
    <w:p w:rsidR="00294CB6" w:rsidRPr="008B0E61" w:rsidRDefault="00294CB6" w:rsidP="007E3E4D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B0E61">
        <w:rPr>
          <w:rStyle w:val="Odwoanieprzypisudolnego"/>
          <w:rFonts w:ascii="Times New Roman" w:hAnsi="Times New Roman"/>
          <w:sz w:val="18"/>
          <w:szCs w:val="18"/>
        </w:rPr>
        <w:t>6)</w:t>
      </w:r>
      <w:r>
        <w:rPr>
          <w:rFonts w:ascii="Times New Roman" w:hAnsi="Times New Roman"/>
          <w:sz w:val="18"/>
          <w:szCs w:val="18"/>
        </w:rPr>
        <w:tab/>
        <w:t xml:space="preserve">Zgodnie z art. 48 ust. 6 </w:t>
      </w:r>
      <w:r w:rsidRPr="00237E34">
        <w:rPr>
          <w:rFonts w:ascii="Times New Roman" w:hAnsi="Times New Roman"/>
          <w:sz w:val="18"/>
          <w:szCs w:val="18"/>
        </w:rPr>
        <w:t>ustawy z dnia … o ochronie praw nabywcy lokalu mieszkalnego lub domu jednorodzinnego oraz o Deweloperskim Funduszu Gwarancyjnym (Dz. U. ….)</w:t>
      </w:r>
      <w:r>
        <w:rPr>
          <w:rFonts w:ascii="Times New Roman" w:hAnsi="Times New Roman"/>
          <w:sz w:val="18"/>
          <w:szCs w:val="18"/>
        </w:rPr>
        <w:t xml:space="preserve"> w</w:t>
      </w:r>
      <w:r w:rsidRPr="00F84C86">
        <w:rPr>
          <w:rFonts w:ascii="Times New Roman" w:hAnsi="Times New Roman"/>
          <w:sz w:val="18"/>
          <w:szCs w:val="18"/>
        </w:rPr>
        <w:t>ysokość składki jest wyliczana według stawki procentowej obowiązującej w dniu rozpoczęcia sprzedaży lokali mieszkalnych lub domów jednorodzinnych w ramach danego przedsięwzięcia dewelopersk</w:t>
      </w:r>
      <w:r>
        <w:rPr>
          <w:rFonts w:ascii="Times New Roman" w:hAnsi="Times New Roman"/>
          <w:sz w:val="18"/>
          <w:szCs w:val="18"/>
        </w:rPr>
        <w:t>iego lub zadania inwestycyjnego</w:t>
      </w:r>
      <w:r w:rsidRPr="00F84C86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Natomiast stawkę procentową </w:t>
      </w:r>
      <w:r w:rsidRPr="00E6714E">
        <w:rPr>
          <w:rFonts w:ascii="Times New Roman" w:hAnsi="Times New Roman"/>
          <w:sz w:val="18"/>
          <w:szCs w:val="18"/>
        </w:rPr>
        <w:t>określa</w:t>
      </w:r>
      <w:r>
        <w:rPr>
          <w:rFonts w:ascii="Times New Roman" w:hAnsi="Times New Roman"/>
          <w:sz w:val="18"/>
          <w:szCs w:val="18"/>
        </w:rPr>
        <w:t xml:space="preserve"> akt wykonawczy wydany </w:t>
      </w:r>
      <w:r w:rsidRPr="00E6714E">
        <w:rPr>
          <w:rFonts w:ascii="Times New Roman" w:hAnsi="Times New Roman"/>
          <w:sz w:val="18"/>
          <w:szCs w:val="18"/>
        </w:rPr>
        <w:t>na podstawie art. 48 ust.</w:t>
      </w:r>
      <w:r>
        <w:rPr>
          <w:rFonts w:ascii="Times New Roman" w:hAnsi="Times New Roman"/>
          <w:sz w:val="18"/>
          <w:szCs w:val="18"/>
        </w:rPr>
        <w:t xml:space="preserve"> </w:t>
      </w:r>
      <w:r w:rsidRPr="00E6714E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 xml:space="preserve"> </w:t>
      </w:r>
      <w:r w:rsidRPr="00E6714E">
        <w:rPr>
          <w:rFonts w:ascii="Times New Roman" w:hAnsi="Times New Roman"/>
          <w:sz w:val="18"/>
          <w:szCs w:val="18"/>
        </w:rPr>
        <w:t>ustawy z dnia … o ochronie praw nabywcy lokalu mieszkalnego lub domu jednorodzinnego oraz o Deweloperskim Funduszu Gwarancyjnym.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27B63"/>
    <w:multiLevelType w:val="hybridMultilevel"/>
    <w:tmpl w:val="46B85A6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64B05"/>
    <w:multiLevelType w:val="hybridMultilevel"/>
    <w:tmpl w:val="29FE3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72A2A"/>
    <w:multiLevelType w:val="hybridMultilevel"/>
    <w:tmpl w:val="FB30E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97B32"/>
    <w:multiLevelType w:val="hybridMultilevel"/>
    <w:tmpl w:val="DDEE7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76FBF"/>
    <w:multiLevelType w:val="hybridMultilevel"/>
    <w:tmpl w:val="74B27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96F67"/>
    <w:multiLevelType w:val="hybridMultilevel"/>
    <w:tmpl w:val="C910E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94B31"/>
    <w:multiLevelType w:val="hybridMultilevel"/>
    <w:tmpl w:val="EE48024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19737E"/>
    <w:multiLevelType w:val="hybridMultilevel"/>
    <w:tmpl w:val="E102BAC4"/>
    <w:lvl w:ilvl="0" w:tplc="93A8179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FF2555"/>
    <w:multiLevelType w:val="hybridMultilevel"/>
    <w:tmpl w:val="9BBAA0D6"/>
    <w:lvl w:ilvl="0" w:tplc="7C1A5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8709ED"/>
    <w:multiLevelType w:val="hybridMultilevel"/>
    <w:tmpl w:val="D214D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B59D5"/>
    <w:multiLevelType w:val="hybridMultilevel"/>
    <w:tmpl w:val="C262C9D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F030D"/>
    <w:multiLevelType w:val="hybridMultilevel"/>
    <w:tmpl w:val="6BC83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D2600"/>
    <w:multiLevelType w:val="hybridMultilevel"/>
    <w:tmpl w:val="E272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B0839"/>
    <w:multiLevelType w:val="hybridMultilevel"/>
    <w:tmpl w:val="60586770"/>
    <w:lvl w:ilvl="0" w:tplc="75BAFD5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22"/>
    <w:rsid w:val="00022DDC"/>
    <w:rsid w:val="00076057"/>
    <w:rsid w:val="000C1B09"/>
    <w:rsid w:val="00110283"/>
    <w:rsid w:val="001125D5"/>
    <w:rsid w:val="0012739C"/>
    <w:rsid w:val="00143535"/>
    <w:rsid w:val="001447F7"/>
    <w:rsid w:val="00162487"/>
    <w:rsid w:val="001C4C77"/>
    <w:rsid w:val="002038D2"/>
    <w:rsid w:val="00234B9E"/>
    <w:rsid w:val="00280051"/>
    <w:rsid w:val="00294CB6"/>
    <w:rsid w:val="00295946"/>
    <w:rsid w:val="002E414E"/>
    <w:rsid w:val="002E7B5C"/>
    <w:rsid w:val="0032349C"/>
    <w:rsid w:val="00331FA6"/>
    <w:rsid w:val="003347BA"/>
    <w:rsid w:val="00364230"/>
    <w:rsid w:val="003D3D96"/>
    <w:rsid w:val="003E0A80"/>
    <w:rsid w:val="003F7E75"/>
    <w:rsid w:val="0040743E"/>
    <w:rsid w:val="004134B4"/>
    <w:rsid w:val="004460C4"/>
    <w:rsid w:val="00457CA2"/>
    <w:rsid w:val="00470BD3"/>
    <w:rsid w:val="00491180"/>
    <w:rsid w:val="00577524"/>
    <w:rsid w:val="005B09BA"/>
    <w:rsid w:val="005F17E8"/>
    <w:rsid w:val="005F6D1D"/>
    <w:rsid w:val="006177CF"/>
    <w:rsid w:val="0062645E"/>
    <w:rsid w:val="007127A4"/>
    <w:rsid w:val="00785374"/>
    <w:rsid w:val="00790BB5"/>
    <w:rsid w:val="007A19E1"/>
    <w:rsid w:val="007D5471"/>
    <w:rsid w:val="007E3E4D"/>
    <w:rsid w:val="007F577D"/>
    <w:rsid w:val="00824C6E"/>
    <w:rsid w:val="008418C9"/>
    <w:rsid w:val="00875AAA"/>
    <w:rsid w:val="00891DF3"/>
    <w:rsid w:val="00920895"/>
    <w:rsid w:val="00921952"/>
    <w:rsid w:val="00952F99"/>
    <w:rsid w:val="0095763B"/>
    <w:rsid w:val="00982437"/>
    <w:rsid w:val="00A0274B"/>
    <w:rsid w:val="00A05C60"/>
    <w:rsid w:val="00A207DF"/>
    <w:rsid w:val="00A774B3"/>
    <w:rsid w:val="00A80C58"/>
    <w:rsid w:val="00A9659B"/>
    <w:rsid w:val="00AE40C2"/>
    <w:rsid w:val="00B166C0"/>
    <w:rsid w:val="00B842C6"/>
    <w:rsid w:val="00B85BFA"/>
    <w:rsid w:val="00BB024C"/>
    <w:rsid w:val="00BF3A00"/>
    <w:rsid w:val="00BF6184"/>
    <w:rsid w:val="00C05345"/>
    <w:rsid w:val="00C06400"/>
    <w:rsid w:val="00C064EB"/>
    <w:rsid w:val="00C13ECE"/>
    <w:rsid w:val="00C61580"/>
    <w:rsid w:val="00C8013B"/>
    <w:rsid w:val="00D37E93"/>
    <w:rsid w:val="00D47F03"/>
    <w:rsid w:val="00D72FEC"/>
    <w:rsid w:val="00D77C8B"/>
    <w:rsid w:val="00DB530F"/>
    <w:rsid w:val="00DC233F"/>
    <w:rsid w:val="00DE4141"/>
    <w:rsid w:val="00E51137"/>
    <w:rsid w:val="00E62BBD"/>
    <w:rsid w:val="00E8714F"/>
    <w:rsid w:val="00EA1C22"/>
    <w:rsid w:val="00EB6A6D"/>
    <w:rsid w:val="00EF63EF"/>
    <w:rsid w:val="00F15AB7"/>
    <w:rsid w:val="00F32286"/>
    <w:rsid w:val="00F66EA3"/>
    <w:rsid w:val="00F82325"/>
    <w:rsid w:val="00FA60ED"/>
    <w:rsid w:val="00FC0F1D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9FB49-C198-45FE-A3EB-74D89ECE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94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C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C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C22"/>
    <w:rPr>
      <w:sz w:val="20"/>
      <w:szCs w:val="20"/>
    </w:rPr>
  </w:style>
  <w:style w:type="character" w:styleId="Odwoanieprzypisudolnego">
    <w:name w:val="footnote reference"/>
    <w:uiPriority w:val="99"/>
    <w:semiHidden/>
    <w:rsid w:val="00EA1C22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A1C22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table" w:customStyle="1" w:styleId="Tabela-Siatka111">
    <w:name w:val="Tabela - Siatka111"/>
    <w:basedOn w:val="Standardowy"/>
    <w:next w:val="Tabela-Siatka"/>
    <w:rsid w:val="00EA1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A1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A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C22"/>
  </w:style>
  <w:style w:type="paragraph" w:styleId="Tekstdymka">
    <w:name w:val="Balloon Text"/>
    <w:basedOn w:val="Normalny"/>
    <w:link w:val="TekstdymkaZnak"/>
    <w:uiPriority w:val="99"/>
    <w:semiHidden/>
    <w:unhideWhenUsed/>
    <w:rsid w:val="007E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4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47F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166C0"/>
    <w:rPr>
      <w:color w:val="0000FF"/>
      <w:u w:val="single"/>
    </w:rPr>
  </w:style>
  <w:style w:type="character" w:customStyle="1" w:styleId="alb-s">
    <w:name w:val="a_lb-s"/>
    <w:basedOn w:val="Domylnaczcionkaakapitu"/>
    <w:rsid w:val="00B166C0"/>
  </w:style>
  <w:style w:type="character" w:customStyle="1" w:styleId="Nagwek2Znak">
    <w:name w:val="Nagłówek 2 Znak"/>
    <w:basedOn w:val="Domylnaczcionkaakapitu"/>
    <w:link w:val="Nagwek2"/>
    <w:uiPriority w:val="9"/>
    <w:rsid w:val="00294C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gwpe8618559size">
    <w:name w:val="gwpe8618559_size"/>
    <w:basedOn w:val="Domylnaczcionkaakapitu"/>
    <w:rsid w:val="0016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7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15</Pages>
  <Words>4432</Words>
  <Characters>26595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Ewa</dc:creator>
  <cp:keywords/>
  <dc:description/>
  <cp:lastModifiedBy>user</cp:lastModifiedBy>
  <cp:revision>11</cp:revision>
  <dcterms:created xsi:type="dcterms:W3CDTF">2025-10-03T15:28:00Z</dcterms:created>
  <dcterms:modified xsi:type="dcterms:W3CDTF">2025-10-05T19:35:00Z</dcterms:modified>
</cp:coreProperties>
</file>